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EBF7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中国疾病预防控制中心寄生虫病预防控制所（国家热带病研究中心）采购代理机构服务项目公开遴选公告</w:t>
      </w:r>
    </w:p>
    <w:p w14:paraId="685B001B">
      <w:pPr>
        <w:rPr>
          <w:rFonts w:hint="eastAsia"/>
          <w:lang w:val="en-US" w:eastAsia="zh-CN"/>
        </w:rPr>
      </w:pPr>
    </w:p>
    <w:p w14:paraId="5C8840EA">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中国疾病预防控制中心寄生虫病预防控制所（国家热带病研究中心）（以下简称“中国疾控中心寄生虫病所”），按照整体工作安排，就“采购代理机构服务项目”进行公开遴选，诚邀符合资质要求的供应商就下列项目提交相关文件，并参加遴选。</w:t>
      </w:r>
    </w:p>
    <w:p w14:paraId="45D27B4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一、项目概况：</w:t>
      </w:r>
    </w:p>
    <w:p w14:paraId="254B92C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1.项目名称：中国疾病预防控制中心寄生虫病预防控制所（国家热带病研究中心）采购代理机构服务项目</w:t>
      </w:r>
    </w:p>
    <w:p w14:paraId="08FE9E7E">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2.采购编号：JYSLX2026001</w:t>
      </w:r>
    </w:p>
    <w:p w14:paraId="1FA6496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3.项目采购内容：技术指标/服务相关要求见附件。</w:t>
      </w:r>
    </w:p>
    <w:p w14:paraId="64648AE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4.采购方式：公开遴选</w:t>
      </w:r>
    </w:p>
    <w:p w14:paraId="1D1F8EC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二、遴选内容</w:t>
      </w:r>
    </w:p>
    <w:p w14:paraId="534504B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通过公开遴选的方式选择3家具备资格、满足要求的采购代理机构，按照遴选文件中规定的各项因素通过综合评审，评审总分由高到低排序，排名前3名列为入围采购代理机构。</w:t>
      </w:r>
    </w:p>
    <w:p w14:paraId="3714E1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三、服务内容</w:t>
      </w:r>
    </w:p>
    <w:p w14:paraId="34B43C7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1.</w:t>
      </w:r>
      <w:r>
        <w:rPr>
          <w:rFonts w:hint="default" w:ascii="Times New Roman" w:hAnsi="Times New Roman" w:eastAsia="仿宋_GB2312" w:cs="仿宋_GB2312"/>
          <w:sz w:val="28"/>
          <w:szCs w:val="36"/>
          <w:lang w:val="en-US" w:eastAsia="zh-CN"/>
        </w:rPr>
        <w:t>提供疾控、应急、教学、科研等工作相关的货物、服务和工程类招标代理服务以及采购咨询、培训、招标文件论证等相关专业服务。</w:t>
      </w:r>
    </w:p>
    <w:p w14:paraId="1A34F3D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2 .具体工作内容包括但不限于：代理采购项目的招标、备案手续（如有）</w:t>
      </w:r>
      <w:r>
        <w:rPr>
          <w:rFonts w:hint="eastAsia" w:ascii="Times New Roman" w:hAnsi="Times New Roman" w:eastAsia="仿宋_GB2312" w:cs="仿宋_GB2312"/>
          <w:sz w:val="28"/>
          <w:szCs w:val="36"/>
          <w:lang w:val="en-US" w:eastAsia="zh-CN"/>
        </w:rPr>
        <w:t>；</w:t>
      </w:r>
      <w:r>
        <w:rPr>
          <w:rFonts w:hint="default" w:ascii="Times New Roman" w:hAnsi="Times New Roman" w:eastAsia="仿宋_GB2312" w:cs="仿宋_GB2312"/>
          <w:sz w:val="28"/>
          <w:szCs w:val="36"/>
          <w:lang w:val="en-US" w:eastAsia="zh-CN"/>
        </w:rPr>
        <w:t>发布采购信息；协助制定采购需求；组织招标文件复核论证；编制、发售采购文件；组织采购答疑；组织开标、评标会；负责中标（成交）结果公示及发布中标（成交）通知书；协助签订合同并提供采购咨询服务；以及其他与招标采购相关的服务。</w:t>
      </w:r>
    </w:p>
    <w:p w14:paraId="3E5DA3A1">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rPr>
          <w:rFonts w:hint="eastAsia" w:ascii="Times New Roman" w:hAnsi="Times New Roman" w:eastAsia="仿宋_GB2312" w:cs="仿宋_GB2312"/>
          <w:b/>
          <w:bCs/>
          <w:sz w:val="28"/>
          <w:szCs w:val="36"/>
          <w:lang w:val="en-US" w:eastAsia="zh-CN"/>
        </w:rPr>
      </w:pPr>
      <w:r>
        <w:rPr>
          <w:rFonts w:hint="eastAsia" w:ascii="Times New Roman" w:hAnsi="Times New Roman" w:eastAsia="仿宋_GB2312" w:cs="仿宋_GB2312"/>
          <w:b/>
          <w:bCs/>
          <w:sz w:val="28"/>
          <w:szCs w:val="36"/>
          <w:lang w:val="en-US" w:eastAsia="zh-CN"/>
        </w:rPr>
        <w:t>遴选需求详见附件1。</w:t>
      </w:r>
    </w:p>
    <w:p w14:paraId="4D58484E">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四、供应商资质要求：</w:t>
      </w:r>
    </w:p>
    <w:p w14:paraId="47B81FE6">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1.符合《中华人民共和国政府采购法》第二十二条的规定。</w:t>
      </w:r>
    </w:p>
    <w:p w14:paraId="3031DB1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2.供应商应为中华人民共和国境内依法成立的具有独立法人的企业或其他组织；营业执照经营范围包含招标代理业务。参加本项目的潜在供应商须纳入“中国政府采购网”政府采购代理机构名单。</w:t>
      </w:r>
    </w:p>
    <w:p w14:paraId="604C5CEB">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3.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7DBE7E6C">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 xml:space="preserve">4.供应商须具有履行合同所必需的设备和专业技术能力。 </w:t>
      </w:r>
    </w:p>
    <w:p w14:paraId="0F0C612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 xml:space="preserve">5.供应商须具有政府采购代理能力，已在《中国政府采购网》登记的代理机构。 </w:t>
      </w:r>
    </w:p>
    <w:p w14:paraId="4D3CC7C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6.符合法律、行政法规规定的其它要求。</w:t>
      </w:r>
    </w:p>
    <w:p w14:paraId="79834C3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_GB2312" w:cs="仿宋_GB2312"/>
          <w:sz w:val="28"/>
          <w:szCs w:val="36"/>
          <w:lang w:val="en-US" w:eastAsia="zh-CN"/>
        </w:rPr>
      </w:pPr>
      <w:r>
        <w:rPr>
          <w:rFonts w:hint="eastAsia" w:ascii="Times New Roman" w:hAnsi="Times New Roman" w:eastAsia="仿宋_GB2312" w:cs="仿宋_GB2312"/>
          <w:sz w:val="28"/>
          <w:szCs w:val="36"/>
          <w:lang w:val="en-US" w:eastAsia="zh-CN"/>
        </w:rPr>
        <w:t>7.本项目不接受联合体报价。</w:t>
      </w:r>
    </w:p>
    <w:p w14:paraId="349C9CF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五、参加遴选供应商需提供如下文件：</w:t>
      </w:r>
    </w:p>
    <w:p w14:paraId="7BFD7F5C">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1.企业营业执照及相关资质证明文件等（复印件加盖单位公章）。</w:t>
      </w:r>
    </w:p>
    <w:p w14:paraId="66EFE56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2.法定代表人或单位负责人授权书。</w:t>
      </w:r>
    </w:p>
    <w:p w14:paraId="3F44345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3.公司简介及业绩：机构设置、管理模式、近三年来在卫生健康领域的代理采购业绩等。</w:t>
      </w:r>
    </w:p>
    <w:p w14:paraId="0213CA5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4.代理本项目的服务方案、承诺，及拟参与本项目的主要工作人员情况。</w:t>
      </w:r>
    </w:p>
    <w:p w14:paraId="43FDA71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 xml:space="preserve">5.能力和经验：组织相关论证和协调沟通能力及经验；对招标采购过程中处理和协调各类质疑情况的能力和经验等。 </w:t>
      </w:r>
    </w:p>
    <w:p w14:paraId="5366E21A">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6.针对本项目的收费标准、收费方式。</w:t>
      </w:r>
    </w:p>
    <w:p w14:paraId="6D10D00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7.联系方式：联系人姓名、电话、邮箱等。</w:t>
      </w:r>
    </w:p>
    <w:p w14:paraId="42C32C6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六、响应文件要求：</w:t>
      </w:r>
    </w:p>
    <w:p w14:paraId="7B4F8C2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1.文件编制：</w:t>
      </w:r>
    </w:p>
    <w:p w14:paraId="72EEA40A">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1）供应商应认真阅读遴选文件的所有内容，按文件的要求提供响应文件，并保证提供的全部资料的真实性。</w:t>
      </w:r>
    </w:p>
    <w:p w14:paraId="76500E8A">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2）供应商提交的响应文件均应以中文书写,所有相关文件均须加盖单位公章。</w:t>
      </w:r>
    </w:p>
    <w:p w14:paraId="31EB997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3）供应商应使用A4纸装订，提供1份正本和2份副本的响应文件。若正本和副本不符的，以正本为准。</w:t>
      </w:r>
    </w:p>
    <w:p w14:paraId="79320BE6">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楷体" w:hAnsi="楷体" w:eastAsia="楷体" w:cs="楷体"/>
          <w:sz w:val="28"/>
          <w:szCs w:val="36"/>
          <w:lang w:val="en-US" w:eastAsia="zh-CN"/>
        </w:rPr>
      </w:pPr>
      <w:r>
        <w:rPr>
          <w:rFonts w:hint="default" w:ascii="楷体" w:hAnsi="楷体" w:eastAsia="楷体" w:cs="楷体"/>
          <w:sz w:val="28"/>
          <w:szCs w:val="36"/>
          <w:lang w:val="en-US" w:eastAsia="zh-CN"/>
        </w:rPr>
        <w:t>2、文件构成：</w:t>
      </w:r>
    </w:p>
    <w:p w14:paraId="31BEDDBB">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供应商编制的遴选响应文件应包括下列部分：</w:t>
      </w:r>
    </w:p>
    <w:p w14:paraId="5211FB66">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1）法定代表人授权委托书（附件3）</w:t>
      </w:r>
    </w:p>
    <w:p w14:paraId="25B54C0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2）年审合格的《企业法人营业执照》（复印件）</w:t>
      </w:r>
    </w:p>
    <w:p w14:paraId="7164668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3）资质证明文件(投标前近期官网查无失信记录截图）</w:t>
      </w:r>
    </w:p>
    <w:p w14:paraId="36FACAA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4）报价一览表（供应商的报价货币计量单位为人民币，含分项报价和总报价）</w:t>
      </w:r>
    </w:p>
    <w:p w14:paraId="0169EB3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5）服务承诺书</w:t>
      </w:r>
    </w:p>
    <w:p w14:paraId="6654D09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6）供应商认为需要提供的其它资料（内容不限于采购人要求）</w:t>
      </w:r>
    </w:p>
    <w:p w14:paraId="7167855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7）供应商出具的《近三年无重大违法记录声明函》（加盖公章）</w:t>
      </w:r>
    </w:p>
    <w:p w14:paraId="180EE85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以上所提供文件加盖单位公章后有效</w:t>
      </w:r>
    </w:p>
    <w:p w14:paraId="6705518E">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报价部分：报价清单请供应商分别提交分项报价及总体报价。</w:t>
      </w:r>
    </w:p>
    <w:p w14:paraId="5145703A">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七、服务期限：</w:t>
      </w:r>
    </w:p>
    <w:p w14:paraId="1BD4292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_GB2312" w:cs="仿宋_GB2312"/>
          <w:sz w:val="28"/>
          <w:szCs w:val="36"/>
          <w:lang w:val="en-US" w:eastAsia="zh-CN"/>
        </w:rPr>
      </w:pPr>
      <w:r>
        <w:rPr>
          <w:rFonts w:hint="default" w:ascii="Times New Roman" w:hAnsi="Times New Roman" w:eastAsia="仿宋_GB2312" w:cs="仿宋_GB2312"/>
          <w:sz w:val="28"/>
          <w:szCs w:val="36"/>
          <w:lang w:val="en-US" w:eastAsia="zh-CN"/>
        </w:rPr>
        <w:t>服务有效期不超过3年，合同一年一签。</w:t>
      </w:r>
    </w:p>
    <w:p w14:paraId="0089664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八、遴选响应文件递交时间及地点：</w:t>
      </w:r>
    </w:p>
    <w:p w14:paraId="71AD97F6">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有意参加的合格供应商请于2026年6月9日14:00前将响应文件递交到上海市黄浦区瑞金二路207号一号楼204室，逾期递交采购方将不予接收。</w:t>
      </w:r>
    </w:p>
    <w:p w14:paraId="1C2084F9">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九、遴选时间及地点：</w:t>
      </w:r>
    </w:p>
    <w:p w14:paraId="6C652F1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时间：2026年6月10日</w:t>
      </w:r>
    </w:p>
    <w:p w14:paraId="3CEDBE8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
          <w:sz w:val="32"/>
          <w:szCs w:val="32"/>
        </w:rPr>
      </w:pPr>
      <w:r>
        <w:rPr>
          <w:rFonts w:hint="eastAsia" w:ascii="Times New Roman" w:hAnsi="Times New Roman" w:eastAsia="仿宋_GB2312" w:cs="仿宋_GB2312"/>
          <w:kern w:val="2"/>
          <w:sz w:val="28"/>
          <w:szCs w:val="36"/>
          <w:lang w:val="en-US" w:eastAsia="zh-CN" w:bidi="ar-SA"/>
        </w:rPr>
        <w:t>地点：</w:t>
      </w:r>
      <w:r>
        <w:rPr>
          <w:rFonts w:hint="eastAsia" w:ascii="Times New Roman" w:hAnsi="Times New Roman" w:eastAsia="仿宋"/>
          <w:sz w:val="32"/>
          <w:szCs w:val="32"/>
        </w:rPr>
        <w:t>同上一条款的文件递交地点，如有变动将另行通知。</w:t>
      </w:r>
    </w:p>
    <w:p w14:paraId="62B7F5CC">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十、采购方联系方式：</w:t>
      </w:r>
    </w:p>
    <w:p w14:paraId="604F3F2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单位：中国疾病预防控制中心寄生虫病预防控制所（国家热带病研究中心）。</w:t>
      </w:r>
    </w:p>
    <w:p w14:paraId="163F842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地址：上海市黄浦区瑞金二路207号。</w:t>
      </w:r>
    </w:p>
    <w:p w14:paraId="4B6C483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联系人：陈先生、柳先生，电话：021-64377008*1204、1207。</w:t>
      </w:r>
    </w:p>
    <w:p w14:paraId="6C824EC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
          <w:sz w:val="32"/>
          <w:szCs w:val="32"/>
          <w:lang w:val="en-US" w:eastAsia="zh-CN"/>
        </w:rPr>
      </w:pPr>
    </w:p>
    <w:p w14:paraId="6C47AC2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附件：1.遴选需求</w:t>
      </w:r>
    </w:p>
    <w:p w14:paraId="3CF5EFC5">
      <w:pPr>
        <w:keepNext w:val="0"/>
        <w:keepLines w:val="0"/>
        <w:pageBreakBefore w:val="0"/>
        <w:widowControl w:val="0"/>
        <w:kinsoku/>
        <w:wordWrap/>
        <w:overflowPunct/>
        <w:topLinePunct w:val="0"/>
        <w:autoSpaceDE/>
        <w:autoSpaceDN/>
        <w:bidi w:val="0"/>
        <w:adjustRightInd/>
        <w:snapToGrid/>
        <w:spacing w:line="594" w:lineRule="exact"/>
        <w:ind w:firstLine="1472" w:firstLineChars="46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 2.评审内容与评分标准</w:t>
      </w:r>
    </w:p>
    <w:p w14:paraId="45227279">
      <w:pPr>
        <w:keepNext w:val="0"/>
        <w:keepLines w:val="0"/>
        <w:pageBreakBefore w:val="0"/>
        <w:widowControl w:val="0"/>
        <w:kinsoku/>
        <w:wordWrap/>
        <w:overflowPunct/>
        <w:topLinePunct w:val="0"/>
        <w:autoSpaceDE/>
        <w:autoSpaceDN/>
        <w:bidi w:val="0"/>
        <w:adjustRightInd/>
        <w:snapToGrid/>
        <w:spacing w:line="594" w:lineRule="exact"/>
        <w:ind w:firstLine="1472" w:firstLineChars="46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 3.法定代表人授权书格式</w:t>
      </w:r>
    </w:p>
    <w:p w14:paraId="45510ADD">
      <w:pPr>
        <w:keepNext w:val="0"/>
        <w:keepLines w:val="0"/>
        <w:pageBreakBefore w:val="0"/>
        <w:widowControl w:val="0"/>
        <w:kinsoku/>
        <w:wordWrap/>
        <w:overflowPunct/>
        <w:topLinePunct w:val="0"/>
        <w:autoSpaceDE/>
        <w:autoSpaceDN/>
        <w:bidi w:val="0"/>
        <w:adjustRightInd/>
        <w:snapToGrid/>
        <w:spacing w:line="594" w:lineRule="exact"/>
        <w:ind w:firstLine="1472" w:firstLineChars="460"/>
        <w:jc w:val="both"/>
        <w:textAlignment w:val="auto"/>
        <w:rPr>
          <w:rFonts w:hint="eastAsia" w:ascii="Times New Roman" w:hAnsi="Times New Roman" w:eastAsia="仿宋"/>
          <w:sz w:val="32"/>
          <w:szCs w:val="32"/>
          <w:lang w:val="en-US" w:eastAsia="zh-CN"/>
        </w:rPr>
      </w:pPr>
    </w:p>
    <w:p w14:paraId="7986AB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r>
        <w:rPr>
          <w:rFonts w:hint="default" w:ascii="仿宋" w:hAnsi="仿宋" w:eastAsia="仿宋"/>
          <w:sz w:val="32"/>
          <w:szCs w:val="32"/>
          <w:lang w:val="en-US" w:eastAsia="zh-CN"/>
        </w:rPr>
        <w:br w:type="page"/>
      </w:r>
      <w:r>
        <w:rPr>
          <w:rFonts w:hint="eastAsia" w:ascii="黑体" w:hAnsi="黑体" w:eastAsia="黑体" w:cs="黑体"/>
          <w:sz w:val="32"/>
          <w:szCs w:val="32"/>
          <w:lang w:val="en-US" w:eastAsia="zh-CN"/>
        </w:rPr>
        <w:t>附件1</w:t>
      </w:r>
    </w:p>
    <w:p w14:paraId="675732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遴选需求</w:t>
      </w:r>
    </w:p>
    <w:p w14:paraId="593ED6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14:paraId="4AB5347C">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一、遴选工作概述</w:t>
      </w:r>
    </w:p>
    <w:p w14:paraId="6B7BE254">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根据国家政府采购的相关法律法规的规定，以及中国疾病预防控制中心寄生虫病预防控制所（国家热带病研究中心）（以下简称寄生虫病所）有关管理规定，结合工作实际及未来业务发展需要，拟通过公开遴选方式选出3家采购代理机构，承担寄生虫病所的采购代理工作，服务期3年，合同一年一签。</w:t>
      </w:r>
    </w:p>
    <w:p w14:paraId="0BACFDB0">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寄生虫病所采购类别包括货物、服务、工程三类。具体采购项目以寄生虫病所实际委托内容为准，每年委托项目数量不固定。以公开、公平、公正为原则，通过公开遴选方式，遴选出信誉良好、专业能力强、采购代理经验丰富，能够满足寄生虫病所需求的采购代理机构，为寄生虫病所的货物、服务、工程类采购项目提供采购代理服务，并确保采购流程合法合规、结果公正。</w:t>
      </w:r>
    </w:p>
    <w:p w14:paraId="1D5A88AB">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二、遴选具体要求（技术需求）</w:t>
      </w:r>
    </w:p>
    <w:p w14:paraId="4D78BA2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（一）采购代理机构要严格执行政府采购相关法律法规及政策文件要求，遵守寄生虫病所内部采购工作流程，接受寄生虫病所的考核、评价、监督。采购全过程均需录音录像，录音录像资料保存期至少15年。</w:t>
      </w:r>
    </w:p>
    <w:p w14:paraId="42525A0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（二）采购代理机构应对政府采购项目执行流程非常熟悉，对卫生健康系统的采购工作及相关政策制度比较了解，承担过卫生健康系统内单位的采购项目，并具备执行进口产品采购项目的能力。</w:t>
      </w:r>
    </w:p>
    <w:p w14:paraId="5DFFD431">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（三）采购代理机构应具备独立且录音录像设备完善的评标室。</w:t>
      </w:r>
    </w:p>
    <w:p w14:paraId="0F5EFD20">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（四）采购代理机构应具备经国家认监委批准的，认证机构颁发的质量管理体系认证、职业健康安全管理体系认证、环境管理体系认证。</w:t>
      </w:r>
    </w:p>
    <w:p w14:paraId="7A3F99F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五）采购代理机构要对委托的采购项目认真负责。对采购项目的技术需求进行专业性审核把关，提供专家论证。及时高效、保质保量、稳妥有序地完成采购项目全流程工作。因采购代理机构自身原因导致采购流程延误的，需承担相应责任；因寄生虫病所采购情况变更或不可抗力导致延误的，双方协商进行相应调整。</w:t>
      </w:r>
    </w:p>
    <w:p w14:paraId="5D540BB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六）采购代理机构应为寄生虫病所组建专业团队。团队成员至少5人（含项目负责人），应由经验丰富、业务熟练的专业人员组成，并保持团队稳定性。项目负责人须具有本科及以上学历，且从业5年及以上，具有良好的组织沟通协调能力；项目经理应须具有本科及以上学历，且从业3年及以上。可配备法律顾问或法务人员。</w:t>
      </w:r>
    </w:p>
    <w:p w14:paraId="6DC2C8A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采购代理机构不得擅自更换项目负责人。采购人寄生虫病所有权要求采购代理机构对服务能力和水平不能满足需要的团队成员进行更换调整，采购代理机构应在接到人员调整要求后2个工作日内完成团队成员调整，调整后的团队成员需具备同等或更高资质，并经寄生虫病所确认后方可进入采购项目工作。</w:t>
      </w:r>
    </w:p>
    <w:p w14:paraId="3DD72DB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 xml:space="preserve">（七）采购代理机构应为寄生虫病所至少提供服务以下： </w:t>
      </w:r>
    </w:p>
    <w:p w14:paraId="4E2B4877">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1.采购技术需求审核把关、采购文件编制、公告发布、开评标、结果公示、质疑投诉处理、投标保证金的收取及退还。</w:t>
      </w:r>
    </w:p>
    <w:p w14:paraId="277F9FE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2.中标（成交）供应商资质符合项目要求，中标（成交）结果无异议或异议处理符合规定。</w:t>
      </w:r>
    </w:p>
    <w:p w14:paraId="58BCF87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3.保存并提供采购项目档案（电子+纸质），包括采购文件终版、公告截图、应答文件、开评标记录、专家评分表、公示截图、中标通知书等。纸质档案交付至寄生虫病所指定办公地点，电子档案按照寄生虫病所要求发送到指定的文件传输系统或电子邮箱。不另行收取档案保管费用。</w:t>
      </w:r>
    </w:p>
    <w:p w14:paraId="7C0AA09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4.根据寄生虫病所工作内容和工作特点，对紧急采购项目提供相应应急工作预案和响应措施。</w:t>
      </w:r>
    </w:p>
    <w:p w14:paraId="02EC5D2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5.及时提供政府采购相关政策更新内容。</w:t>
      </w:r>
    </w:p>
    <w:p w14:paraId="6B1ED517">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6.提供现场培训和专业咨询服务，且不另行收取培训、咨询服务费用。</w:t>
      </w:r>
    </w:p>
    <w:p w14:paraId="3FCEDD9F">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Times New Roman" w:hAnsi="Times New Roman" w:eastAsia="仿宋_GB2312" w:cs="仿宋_GB2312"/>
          <w:kern w:val="2"/>
          <w:sz w:val="28"/>
          <w:szCs w:val="36"/>
          <w:lang w:val="en-US" w:eastAsia="zh-CN" w:bidi="ar-SA"/>
        </w:rPr>
      </w:pPr>
      <w:r>
        <w:rPr>
          <w:rFonts w:hint="eastAsia" w:ascii="Times New Roman" w:hAnsi="Times New Roman" w:eastAsia="仿宋_GB2312" w:cs="仿宋_GB2312"/>
          <w:kern w:val="2"/>
          <w:sz w:val="28"/>
          <w:szCs w:val="36"/>
          <w:lang w:val="en-US" w:eastAsia="zh-CN" w:bidi="ar-SA"/>
        </w:rPr>
        <w:t>7.采购代理机构的服务费参照《招标代理服务收费管理暂行办法》（计价格〔2002〕1980号）及《关于招标代理服务收费有关问题的通知》（国家发改办价格〔2003〕857号）相关规定，在发出中标通知书后，向中标人/成交供应商收取，并应在招标文件中予以明确。采购代理机构收取的代理服务费，包含代理采购项目所需的人力资源、设施设备、成本、场地、服务、税金、不可预见费、利润等全部费用。如出现流标情况，采购代理机构按照变更后的采购方式继续完成采购代理工作，并不因此向采购人收取费用。</w:t>
      </w:r>
    </w:p>
    <w:p w14:paraId="75D295CD">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32"/>
          <w:szCs w:val="40"/>
          <w:lang w:val="en-US" w:eastAsia="zh-CN"/>
        </w:rPr>
      </w:pPr>
      <w:r>
        <w:rPr>
          <w:rFonts w:hint="default"/>
          <w:lang w:val="en-US" w:eastAsia="zh-CN"/>
        </w:rPr>
        <w:br w:type="page"/>
      </w:r>
      <w:r>
        <w:rPr>
          <w:rFonts w:hint="eastAsia" w:ascii="黑体" w:hAnsi="黑体" w:eastAsia="黑体" w:cs="黑体"/>
          <w:sz w:val="32"/>
          <w:szCs w:val="40"/>
          <w:lang w:val="en-US" w:eastAsia="zh-CN"/>
        </w:rPr>
        <w:t>附件2</w:t>
      </w:r>
    </w:p>
    <w:p w14:paraId="1328FB7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评审内容与评分标准</w:t>
      </w:r>
    </w:p>
    <w:tbl>
      <w:tblPr>
        <w:tblStyle w:val="5"/>
        <w:tblW w:w="1006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76"/>
        <w:gridCol w:w="7801"/>
        <w:gridCol w:w="992"/>
      </w:tblGrid>
      <w:tr w14:paraId="7CDC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trPr>
        <w:tc>
          <w:tcPr>
            <w:tcW w:w="496" w:type="dxa"/>
            <w:tcBorders>
              <w:top w:val="single" w:color="auto" w:sz="4" w:space="0"/>
              <w:left w:val="single" w:color="auto" w:sz="4" w:space="0"/>
              <w:bottom w:val="single" w:color="auto" w:sz="4" w:space="0"/>
              <w:right w:val="single" w:color="auto" w:sz="4" w:space="0"/>
            </w:tcBorders>
            <w:noWrap w:val="0"/>
            <w:vAlign w:val="center"/>
          </w:tcPr>
          <w:p w14:paraId="4544B458">
            <w:pPr>
              <w:widowControl/>
              <w:spacing w:line="260" w:lineRule="exact"/>
              <w:jc w:val="center"/>
              <w:rPr>
                <w:rFonts w:ascii="仿宋" w:hAnsi="仿宋" w:eastAsia="仿宋" w:cs="宋体"/>
                <w:b/>
                <w:color w:val="000000"/>
                <w:kern w:val="0"/>
                <w:sz w:val="24"/>
              </w:rPr>
            </w:pPr>
            <w:r>
              <w:rPr>
                <w:rFonts w:hint="eastAsia" w:ascii="仿宋" w:hAnsi="仿宋" w:eastAsia="仿宋" w:cs="宋体"/>
                <w:b/>
                <w:color w:val="000000"/>
                <w:kern w:val="0"/>
                <w:sz w:val="24"/>
              </w:rPr>
              <w:t>序号</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76E5FE4A">
            <w:pPr>
              <w:widowControl/>
              <w:spacing w:line="260" w:lineRule="exact"/>
              <w:jc w:val="center"/>
              <w:rPr>
                <w:rFonts w:ascii="仿宋" w:hAnsi="仿宋" w:eastAsia="仿宋" w:cs="宋体"/>
                <w:b/>
                <w:color w:val="000000"/>
                <w:kern w:val="0"/>
                <w:sz w:val="24"/>
              </w:rPr>
            </w:pPr>
            <w:r>
              <w:rPr>
                <w:rFonts w:hint="eastAsia" w:ascii="仿宋" w:hAnsi="仿宋" w:eastAsia="仿宋" w:cs="宋体"/>
                <w:b/>
                <w:color w:val="000000"/>
                <w:kern w:val="0"/>
                <w:sz w:val="24"/>
              </w:rPr>
              <w:t>评审内容</w:t>
            </w:r>
          </w:p>
        </w:tc>
        <w:tc>
          <w:tcPr>
            <w:tcW w:w="7801" w:type="dxa"/>
            <w:tcBorders>
              <w:top w:val="single" w:color="auto" w:sz="4" w:space="0"/>
              <w:left w:val="single" w:color="auto" w:sz="4" w:space="0"/>
              <w:bottom w:val="single" w:color="auto" w:sz="4" w:space="0"/>
              <w:right w:val="single" w:color="auto" w:sz="4" w:space="0"/>
            </w:tcBorders>
            <w:noWrap w:val="0"/>
            <w:vAlign w:val="center"/>
          </w:tcPr>
          <w:p w14:paraId="3831B844">
            <w:pPr>
              <w:widowControl/>
              <w:spacing w:line="260" w:lineRule="exact"/>
              <w:jc w:val="center"/>
              <w:rPr>
                <w:rFonts w:ascii="仿宋" w:hAnsi="仿宋" w:eastAsia="仿宋" w:cs="宋体"/>
                <w:b/>
                <w:color w:val="000000"/>
                <w:kern w:val="0"/>
                <w:sz w:val="24"/>
              </w:rPr>
            </w:pPr>
            <w:r>
              <w:rPr>
                <w:rFonts w:hint="eastAsia" w:ascii="仿宋" w:hAnsi="仿宋" w:eastAsia="仿宋" w:cs="宋体"/>
                <w:b/>
                <w:color w:val="000000"/>
                <w:kern w:val="0"/>
                <w:sz w:val="24"/>
              </w:rPr>
              <w:t>评分标准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A142B36">
            <w:pPr>
              <w:widowControl/>
              <w:spacing w:line="260" w:lineRule="exact"/>
              <w:jc w:val="center"/>
              <w:rPr>
                <w:rFonts w:ascii="仿宋" w:hAnsi="仿宋" w:eastAsia="仿宋" w:cs="宋体"/>
                <w:b/>
                <w:color w:val="000000"/>
                <w:kern w:val="0"/>
                <w:sz w:val="24"/>
              </w:rPr>
            </w:pPr>
            <w:r>
              <w:rPr>
                <w:rFonts w:hint="eastAsia" w:ascii="仿宋" w:hAnsi="仿宋" w:eastAsia="仿宋" w:cs="宋体"/>
                <w:b/>
                <w:color w:val="000000"/>
                <w:kern w:val="0"/>
                <w:sz w:val="24"/>
              </w:rPr>
              <w:t>分值</w:t>
            </w:r>
          </w:p>
        </w:tc>
      </w:tr>
      <w:tr w14:paraId="36A9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496" w:type="dxa"/>
            <w:tcBorders>
              <w:top w:val="single" w:color="auto" w:sz="4" w:space="0"/>
            </w:tcBorders>
            <w:noWrap w:val="0"/>
            <w:vAlign w:val="center"/>
          </w:tcPr>
          <w:p w14:paraId="4CDF974F">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776" w:type="dxa"/>
            <w:tcBorders>
              <w:top w:val="single" w:color="auto" w:sz="4" w:space="0"/>
            </w:tcBorders>
            <w:noWrap w:val="0"/>
            <w:vAlign w:val="center"/>
          </w:tcPr>
          <w:p w14:paraId="34FE629F">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专业团队</w:t>
            </w:r>
          </w:p>
        </w:tc>
        <w:tc>
          <w:tcPr>
            <w:tcW w:w="7801" w:type="dxa"/>
            <w:tcBorders>
              <w:top w:val="single" w:color="auto" w:sz="4" w:space="0"/>
            </w:tcBorders>
            <w:noWrap w:val="0"/>
            <w:vAlign w:val="center"/>
          </w:tcPr>
          <w:p w14:paraId="3B000129">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1.项目团队5人及以上，有大学本科及以上学历每人得2分，最多得10分。</w:t>
            </w:r>
          </w:p>
          <w:p w14:paraId="40C9A022">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2</w:t>
            </w:r>
            <w:r>
              <w:rPr>
                <w:rFonts w:ascii="仿宋" w:hAnsi="仿宋" w:eastAsia="仿宋" w:cs="宋体"/>
                <w:color w:val="000000"/>
                <w:kern w:val="0"/>
                <w:sz w:val="24"/>
              </w:rPr>
              <w:t>.</w:t>
            </w:r>
            <w:r>
              <w:rPr>
                <w:rFonts w:hint="eastAsia" w:ascii="仿宋" w:hAnsi="仿宋" w:eastAsia="仿宋" w:cs="宋体"/>
                <w:color w:val="000000"/>
                <w:kern w:val="0"/>
                <w:sz w:val="24"/>
              </w:rPr>
              <w:t>项目负责人须具有本科及以上学历。从业1</w:t>
            </w:r>
            <w:r>
              <w:rPr>
                <w:rFonts w:ascii="仿宋" w:hAnsi="仿宋" w:eastAsia="仿宋" w:cs="宋体"/>
                <w:color w:val="000000"/>
                <w:kern w:val="0"/>
                <w:sz w:val="24"/>
              </w:rPr>
              <w:t>0</w:t>
            </w:r>
            <w:r>
              <w:rPr>
                <w:rFonts w:hint="eastAsia" w:ascii="仿宋" w:hAnsi="仿宋" w:eastAsia="仿宋" w:cs="宋体"/>
                <w:color w:val="000000"/>
                <w:kern w:val="0"/>
                <w:sz w:val="24"/>
              </w:rPr>
              <w:t>年及以上得5分，从业5（含）至</w:t>
            </w:r>
            <w:r>
              <w:rPr>
                <w:rFonts w:ascii="仿宋" w:hAnsi="仿宋" w:eastAsia="仿宋" w:cs="宋体"/>
                <w:color w:val="000000"/>
                <w:kern w:val="0"/>
                <w:sz w:val="24"/>
              </w:rPr>
              <w:t>9</w:t>
            </w:r>
            <w:r>
              <w:rPr>
                <w:rFonts w:hint="eastAsia" w:ascii="仿宋" w:hAnsi="仿宋" w:eastAsia="仿宋" w:cs="宋体"/>
                <w:color w:val="000000"/>
                <w:kern w:val="0"/>
                <w:sz w:val="24"/>
              </w:rPr>
              <w:t>年得3分。</w:t>
            </w:r>
          </w:p>
          <w:p w14:paraId="3FA033D2">
            <w:pPr>
              <w:widowControl/>
              <w:spacing w:line="260" w:lineRule="exact"/>
              <w:rPr>
                <w:rFonts w:ascii="仿宋" w:hAnsi="仿宋" w:eastAsia="仿宋" w:cs="宋体"/>
                <w:color w:val="000000"/>
                <w:kern w:val="0"/>
                <w:sz w:val="24"/>
              </w:rPr>
            </w:pPr>
            <w:r>
              <w:rPr>
                <w:rFonts w:ascii="仿宋" w:hAnsi="仿宋" w:eastAsia="仿宋" w:cs="宋体"/>
                <w:color w:val="000000"/>
                <w:kern w:val="0"/>
                <w:sz w:val="24"/>
              </w:rPr>
              <w:t>3</w:t>
            </w:r>
            <w:r>
              <w:rPr>
                <w:rFonts w:hint="eastAsia" w:ascii="仿宋" w:hAnsi="仿宋" w:eastAsia="仿宋" w:cs="宋体"/>
                <w:color w:val="000000"/>
                <w:kern w:val="0"/>
                <w:sz w:val="24"/>
              </w:rPr>
              <w:t>.项目经理须具有本科及以上学历。从业</w:t>
            </w:r>
            <w:r>
              <w:rPr>
                <w:rFonts w:ascii="仿宋" w:hAnsi="仿宋" w:eastAsia="仿宋" w:cs="宋体"/>
                <w:color w:val="000000"/>
                <w:kern w:val="0"/>
                <w:sz w:val="24"/>
              </w:rPr>
              <w:t>5</w:t>
            </w:r>
            <w:r>
              <w:rPr>
                <w:rFonts w:hint="eastAsia" w:ascii="仿宋" w:hAnsi="仿宋" w:eastAsia="仿宋" w:cs="宋体"/>
                <w:color w:val="000000"/>
                <w:kern w:val="0"/>
                <w:sz w:val="24"/>
              </w:rPr>
              <w:t>年及以上得</w:t>
            </w:r>
            <w:r>
              <w:rPr>
                <w:rFonts w:ascii="仿宋" w:hAnsi="仿宋" w:eastAsia="仿宋" w:cs="宋体"/>
                <w:color w:val="000000"/>
                <w:kern w:val="0"/>
                <w:sz w:val="24"/>
              </w:rPr>
              <w:t>3</w:t>
            </w:r>
            <w:r>
              <w:rPr>
                <w:rFonts w:hint="eastAsia" w:ascii="仿宋" w:hAnsi="仿宋" w:eastAsia="仿宋" w:cs="宋体"/>
                <w:color w:val="000000"/>
                <w:kern w:val="0"/>
                <w:sz w:val="24"/>
              </w:rPr>
              <w:t>分，从业3（含）至</w:t>
            </w:r>
            <w:r>
              <w:rPr>
                <w:rFonts w:ascii="仿宋" w:hAnsi="仿宋" w:eastAsia="仿宋" w:cs="宋体"/>
                <w:color w:val="000000"/>
                <w:kern w:val="0"/>
                <w:sz w:val="24"/>
              </w:rPr>
              <w:t>4</w:t>
            </w:r>
            <w:r>
              <w:rPr>
                <w:rFonts w:hint="eastAsia" w:ascii="仿宋" w:hAnsi="仿宋" w:eastAsia="仿宋" w:cs="宋体"/>
                <w:color w:val="000000"/>
                <w:kern w:val="0"/>
                <w:sz w:val="24"/>
              </w:rPr>
              <w:t>年得</w:t>
            </w:r>
            <w:r>
              <w:rPr>
                <w:rFonts w:ascii="仿宋" w:hAnsi="仿宋" w:eastAsia="仿宋" w:cs="宋体"/>
                <w:color w:val="000000"/>
                <w:kern w:val="0"/>
                <w:sz w:val="24"/>
              </w:rPr>
              <w:t>2</w:t>
            </w:r>
            <w:r>
              <w:rPr>
                <w:rFonts w:hint="eastAsia" w:ascii="仿宋" w:hAnsi="仿宋" w:eastAsia="仿宋" w:cs="宋体"/>
                <w:color w:val="000000"/>
                <w:kern w:val="0"/>
                <w:sz w:val="24"/>
              </w:rPr>
              <w:t>分。</w:t>
            </w:r>
          </w:p>
          <w:p w14:paraId="5A8E81E7">
            <w:pPr>
              <w:widowControl/>
              <w:spacing w:line="260" w:lineRule="exact"/>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配备法律相关专业毕业的、从业3年及以上的法律顾问或法务人员得2分。</w:t>
            </w:r>
          </w:p>
          <w:p w14:paraId="455F7B66">
            <w:pPr>
              <w:widowControl/>
              <w:spacing w:line="260" w:lineRule="exact"/>
              <w:rPr>
                <w:rFonts w:ascii="仿宋" w:hAnsi="仿宋" w:eastAsia="仿宋" w:cs="宋体"/>
                <w:color w:val="000000"/>
                <w:kern w:val="0"/>
                <w:sz w:val="24"/>
              </w:rPr>
            </w:pPr>
          </w:p>
          <w:p w14:paraId="44F3C3FF">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注：提供以上人员学历或学位证书复印件并加盖公章，原件备查。法律顾问或法务人员须提供律师执业证或法律相关专业学历或学位证书复印件并加盖公章，原件备查。提供以上人员在本单位缴纳社保证明复印件并加盖公章（如是外聘法律顾问或法务人员除外）。</w:t>
            </w:r>
          </w:p>
        </w:tc>
        <w:tc>
          <w:tcPr>
            <w:tcW w:w="992" w:type="dxa"/>
            <w:tcBorders>
              <w:top w:val="single" w:color="auto" w:sz="4" w:space="0"/>
            </w:tcBorders>
            <w:noWrap w:val="0"/>
            <w:vAlign w:val="center"/>
          </w:tcPr>
          <w:p w14:paraId="6078C529">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20分</w:t>
            </w:r>
          </w:p>
        </w:tc>
      </w:tr>
      <w:tr w14:paraId="45BB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trPr>
        <w:tc>
          <w:tcPr>
            <w:tcW w:w="496" w:type="dxa"/>
            <w:noWrap w:val="0"/>
            <w:vAlign w:val="center"/>
          </w:tcPr>
          <w:p w14:paraId="339E2371">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76" w:type="dxa"/>
            <w:noWrap w:val="0"/>
            <w:vAlign w:val="center"/>
          </w:tcPr>
          <w:p w14:paraId="772098CC">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工作业绩</w:t>
            </w:r>
          </w:p>
        </w:tc>
        <w:tc>
          <w:tcPr>
            <w:tcW w:w="7801" w:type="dxa"/>
            <w:noWrap w:val="0"/>
            <w:vAlign w:val="center"/>
          </w:tcPr>
          <w:p w14:paraId="333035F9">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1.至少与5家卫生健康系统内单位有执行中的年度采购代理协议，每有一份协议得3分，最高得</w:t>
            </w:r>
            <w:r>
              <w:rPr>
                <w:rFonts w:ascii="仿宋" w:hAnsi="仿宋" w:eastAsia="仿宋" w:cs="宋体"/>
                <w:color w:val="000000"/>
                <w:kern w:val="0"/>
                <w:sz w:val="24"/>
              </w:rPr>
              <w:t>1</w:t>
            </w:r>
            <w:r>
              <w:rPr>
                <w:rFonts w:hint="eastAsia" w:ascii="仿宋" w:hAnsi="仿宋" w:eastAsia="仿宋" w:cs="宋体"/>
                <w:color w:val="000000"/>
                <w:kern w:val="0"/>
                <w:sz w:val="24"/>
              </w:rPr>
              <w:t>5分。</w:t>
            </w:r>
          </w:p>
          <w:p w14:paraId="4424C98B">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2</w:t>
            </w:r>
            <w:r>
              <w:rPr>
                <w:rFonts w:ascii="仿宋" w:hAnsi="仿宋" w:eastAsia="仿宋" w:cs="宋体"/>
                <w:color w:val="000000"/>
                <w:kern w:val="0"/>
                <w:sz w:val="24"/>
              </w:rPr>
              <w:t>.</w:t>
            </w:r>
            <w:r>
              <w:rPr>
                <w:rFonts w:hint="eastAsia" w:ascii="仿宋" w:hAnsi="仿宋" w:eastAsia="仿宋" w:cs="宋体"/>
                <w:color w:val="000000"/>
                <w:kern w:val="0"/>
                <w:sz w:val="24"/>
              </w:rPr>
              <w:t>近3年承担过卫生健康系统内单位的政府采购项目。</w:t>
            </w:r>
          </w:p>
          <w:p w14:paraId="5E4BA4C0">
            <w:pPr>
              <w:widowControl/>
              <w:spacing w:line="260" w:lineRule="exact"/>
              <w:rPr>
                <w:rFonts w:ascii="仿宋" w:hAnsi="仿宋" w:eastAsia="仿宋" w:cs="宋体"/>
                <w:kern w:val="0"/>
                <w:sz w:val="24"/>
              </w:rPr>
            </w:pPr>
            <w:r>
              <w:rPr>
                <w:rFonts w:hint="eastAsia" w:ascii="仿宋" w:hAnsi="仿宋" w:eastAsia="仿宋" w:cs="宋体"/>
                <w:color w:val="000000"/>
                <w:kern w:val="0"/>
                <w:sz w:val="24"/>
              </w:rPr>
              <w:t>单个项目预算金额≥</w:t>
            </w:r>
            <w:r>
              <w:rPr>
                <w:rFonts w:ascii="仿宋" w:hAnsi="仿宋" w:eastAsia="仿宋" w:cs="宋体"/>
                <w:kern w:val="0"/>
                <w:sz w:val="24"/>
              </w:rPr>
              <w:t>2000</w:t>
            </w:r>
            <w:r>
              <w:rPr>
                <w:rFonts w:hint="eastAsia" w:ascii="仿宋" w:hAnsi="仿宋" w:eastAsia="仿宋" w:cs="宋体"/>
                <w:kern w:val="0"/>
                <w:sz w:val="24"/>
              </w:rPr>
              <w:t>万元人民币，每有一个项目得</w:t>
            </w:r>
            <w:r>
              <w:rPr>
                <w:rFonts w:ascii="仿宋" w:hAnsi="仿宋" w:eastAsia="仿宋" w:cs="宋体"/>
                <w:kern w:val="0"/>
                <w:sz w:val="24"/>
              </w:rPr>
              <w:t>4</w:t>
            </w:r>
            <w:r>
              <w:rPr>
                <w:rFonts w:hint="eastAsia" w:ascii="仿宋" w:hAnsi="仿宋" w:eastAsia="仿宋" w:cs="宋体"/>
                <w:kern w:val="0"/>
                <w:sz w:val="24"/>
              </w:rPr>
              <w:t>分；</w:t>
            </w:r>
          </w:p>
          <w:p w14:paraId="0CA57944">
            <w:pPr>
              <w:widowControl/>
              <w:spacing w:line="260" w:lineRule="exact"/>
              <w:rPr>
                <w:rFonts w:ascii="仿宋" w:hAnsi="仿宋" w:eastAsia="仿宋" w:cs="宋体"/>
                <w:kern w:val="0"/>
                <w:sz w:val="24"/>
              </w:rPr>
            </w:pPr>
            <w:r>
              <w:rPr>
                <w:rFonts w:hint="eastAsia" w:ascii="仿宋" w:hAnsi="仿宋" w:eastAsia="仿宋" w:cs="宋体"/>
                <w:kern w:val="0"/>
                <w:sz w:val="24"/>
              </w:rPr>
              <w:t>单个项目预算≥</w:t>
            </w:r>
            <w:r>
              <w:rPr>
                <w:rFonts w:ascii="仿宋" w:hAnsi="仿宋" w:eastAsia="仿宋" w:cs="宋体"/>
                <w:kern w:val="0"/>
                <w:sz w:val="24"/>
              </w:rPr>
              <w:t>1000</w:t>
            </w:r>
            <w:r>
              <w:rPr>
                <w:rFonts w:hint="eastAsia" w:ascii="仿宋" w:hAnsi="仿宋" w:eastAsia="仿宋" w:cs="宋体"/>
                <w:kern w:val="0"/>
                <w:sz w:val="24"/>
              </w:rPr>
              <w:t>万元（＜</w:t>
            </w:r>
            <w:r>
              <w:rPr>
                <w:rFonts w:ascii="仿宋" w:hAnsi="仿宋" w:eastAsia="仿宋" w:cs="宋体"/>
                <w:kern w:val="0"/>
                <w:sz w:val="24"/>
              </w:rPr>
              <w:t>2000</w:t>
            </w:r>
            <w:r>
              <w:rPr>
                <w:rFonts w:hint="eastAsia" w:ascii="仿宋" w:hAnsi="仿宋" w:eastAsia="仿宋" w:cs="宋体"/>
                <w:kern w:val="0"/>
                <w:sz w:val="24"/>
              </w:rPr>
              <w:t>万元），每有一个项目得</w:t>
            </w:r>
            <w:r>
              <w:rPr>
                <w:rFonts w:ascii="仿宋" w:hAnsi="仿宋" w:eastAsia="仿宋" w:cs="宋体"/>
                <w:kern w:val="0"/>
                <w:sz w:val="24"/>
              </w:rPr>
              <w:t>3</w:t>
            </w:r>
            <w:r>
              <w:rPr>
                <w:rFonts w:hint="eastAsia" w:ascii="仿宋" w:hAnsi="仿宋" w:eastAsia="仿宋" w:cs="宋体"/>
                <w:kern w:val="0"/>
                <w:sz w:val="24"/>
              </w:rPr>
              <w:t>分；</w:t>
            </w:r>
          </w:p>
          <w:p w14:paraId="5B3744B1">
            <w:pPr>
              <w:widowControl/>
              <w:spacing w:line="260" w:lineRule="exact"/>
              <w:rPr>
                <w:rFonts w:ascii="仿宋" w:hAnsi="仿宋" w:eastAsia="仿宋" w:cs="宋体"/>
                <w:kern w:val="0"/>
                <w:sz w:val="24"/>
              </w:rPr>
            </w:pPr>
            <w:r>
              <w:rPr>
                <w:rFonts w:hint="eastAsia" w:ascii="仿宋" w:hAnsi="仿宋" w:eastAsia="仿宋" w:cs="宋体"/>
                <w:kern w:val="0"/>
                <w:sz w:val="24"/>
              </w:rPr>
              <w:t>单个项目预算≥</w:t>
            </w:r>
            <w:r>
              <w:rPr>
                <w:rFonts w:ascii="仿宋" w:hAnsi="仿宋" w:eastAsia="仿宋" w:cs="宋体"/>
                <w:kern w:val="0"/>
                <w:sz w:val="24"/>
              </w:rPr>
              <w:t>500</w:t>
            </w:r>
            <w:r>
              <w:rPr>
                <w:rFonts w:hint="eastAsia" w:ascii="仿宋" w:hAnsi="仿宋" w:eastAsia="仿宋" w:cs="宋体"/>
                <w:kern w:val="0"/>
                <w:sz w:val="24"/>
              </w:rPr>
              <w:t>万元（＜</w:t>
            </w:r>
            <w:r>
              <w:rPr>
                <w:rFonts w:ascii="仿宋" w:hAnsi="仿宋" w:eastAsia="仿宋" w:cs="宋体"/>
                <w:kern w:val="0"/>
                <w:sz w:val="24"/>
              </w:rPr>
              <w:t>1000</w:t>
            </w:r>
            <w:r>
              <w:rPr>
                <w:rFonts w:hint="eastAsia" w:ascii="仿宋" w:hAnsi="仿宋" w:eastAsia="仿宋" w:cs="宋体"/>
                <w:kern w:val="0"/>
                <w:sz w:val="24"/>
              </w:rPr>
              <w:t>万元），每有一个项目得</w:t>
            </w:r>
            <w:r>
              <w:rPr>
                <w:rFonts w:ascii="仿宋" w:hAnsi="仿宋" w:eastAsia="仿宋" w:cs="宋体"/>
                <w:kern w:val="0"/>
                <w:sz w:val="24"/>
              </w:rPr>
              <w:t>2</w:t>
            </w:r>
            <w:r>
              <w:rPr>
                <w:rFonts w:hint="eastAsia" w:ascii="仿宋" w:hAnsi="仿宋" w:eastAsia="仿宋" w:cs="宋体"/>
                <w:kern w:val="0"/>
                <w:sz w:val="24"/>
              </w:rPr>
              <w:t>分；</w:t>
            </w:r>
          </w:p>
          <w:p w14:paraId="4E12D988">
            <w:pPr>
              <w:widowControl/>
              <w:spacing w:line="260" w:lineRule="exact"/>
              <w:rPr>
                <w:rFonts w:ascii="仿宋" w:hAnsi="仿宋" w:eastAsia="仿宋" w:cs="宋体"/>
                <w:color w:val="000000"/>
                <w:kern w:val="0"/>
                <w:sz w:val="24"/>
              </w:rPr>
            </w:pPr>
            <w:r>
              <w:rPr>
                <w:rFonts w:hint="eastAsia" w:ascii="仿宋" w:hAnsi="仿宋" w:eastAsia="仿宋" w:cs="宋体"/>
                <w:kern w:val="0"/>
                <w:sz w:val="24"/>
              </w:rPr>
              <w:t>单个项目预算≥</w:t>
            </w:r>
            <w:r>
              <w:rPr>
                <w:rFonts w:ascii="仿宋" w:hAnsi="仿宋" w:eastAsia="仿宋" w:cs="宋体"/>
                <w:kern w:val="0"/>
                <w:sz w:val="24"/>
              </w:rPr>
              <w:t>100</w:t>
            </w:r>
            <w:r>
              <w:rPr>
                <w:rFonts w:hint="eastAsia" w:ascii="仿宋" w:hAnsi="仿宋" w:eastAsia="仿宋" w:cs="宋体"/>
                <w:kern w:val="0"/>
                <w:sz w:val="24"/>
              </w:rPr>
              <w:t>万元（＜</w:t>
            </w:r>
            <w:r>
              <w:rPr>
                <w:rFonts w:ascii="仿宋" w:hAnsi="仿宋" w:eastAsia="仿宋" w:cs="宋体"/>
                <w:kern w:val="0"/>
                <w:sz w:val="24"/>
              </w:rPr>
              <w:t>500</w:t>
            </w:r>
            <w:r>
              <w:rPr>
                <w:rFonts w:hint="eastAsia" w:ascii="仿宋" w:hAnsi="仿宋" w:eastAsia="仿宋" w:cs="宋体"/>
                <w:kern w:val="0"/>
                <w:sz w:val="24"/>
              </w:rPr>
              <w:t>万元），每有一个项目得</w:t>
            </w:r>
            <w:r>
              <w:rPr>
                <w:rFonts w:ascii="仿宋" w:hAnsi="仿宋" w:eastAsia="仿宋" w:cs="宋体"/>
                <w:kern w:val="0"/>
                <w:sz w:val="24"/>
              </w:rPr>
              <w:t>1</w:t>
            </w:r>
            <w:r>
              <w:rPr>
                <w:rFonts w:hint="eastAsia" w:ascii="仿宋" w:hAnsi="仿宋" w:eastAsia="仿宋" w:cs="宋体"/>
                <w:kern w:val="0"/>
                <w:sz w:val="24"/>
              </w:rPr>
              <w:t>分，最多</w:t>
            </w:r>
            <w:r>
              <w:rPr>
                <w:rFonts w:ascii="仿宋" w:hAnsi="仿宋" w:eastAsia="仿宋" w:cs="宋体"/>
                <w:kern w:val="0"/>
                <w:sz w:val="24"/>
              </w:rPr>
              <w:t>12</w:t>
            </w:r>
            <w:r>
              <w:rPr>
                <w:rFonts w:hint="eastAsia" w:ascii="仿宋" w:hAnsi="仿宋" w:eastAsia="仿宋" w:cs="宋体"/>
                <w:kern w:val="0"/>
                <w:sz w:val="24"/>
              </w:rPr>
              <w:t>分。</w:t>
            </w:r>
          </w:p>
          <w:p w14:paraId="639496D2">
            <w:pPr>
              <w:widowControl/>
              <w:spacing w:line="260" w:lineRule="exact"/>
              <w:rPr>
                <w:rFonts w:ascii="仿宋" w:hAnsi="仿宋" w:eastAsia="仿宋" w:cs="宋体"/>
                <w:color w:val="000000"/>
                <w:kern w:val="0"/>
                <w:sz w:val="24"/>
              </w:rPr>
            </w:pPr>
            <w:r>
              <w:rPr>
                <w:rFonts w:ascii="仿宋" w:hAnsi="仿宋" w:eastAsia="仿宋" w:cs="宋体"/>
                <w:color w:val="000000"/>
                <w:kern w:val="0"/>
                <w:sz w:val="24"/>
              </w:rPr>
              <w:t>3</w:t>
            </w:r>
            <w:r>
              <w:rPr>
                <w:rFonts w:hint="eastAsia" w:ascii="仿宋" w:hAnsi="仿宋" w:eastAsia="仿宋" w:cs="宋体"/>
                <w:color w:val="000000"/>
                <w:kern w:val="0"/>
                <w:sz w:val="24"/>
              </w:rPr>
              <w:t>.近3年承担过卫生健康系统内单位的进口产品采购项目。</w:t>
            </w:r>
          </w:p>
          <w:p w14:paraId="06F6AA26">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单个项目预算金额≥</w:t>
            </w:r>
            <w:r>
              <w:rPr>
                <w:rFonts w:ascii="仿宋" w:hAnsi="仿宋" w:eastAsia="仿宋" w:cs="宋体"/>
                <w:color w:val="000000"/>
                <w:kern w:val="0"/>
                <w:sz w:val="24"/>
              </w:rPr>
              <w:t>200万元人民币</w:t>
            </w:r>
            <w:r>
              <w:rPr>
                <w:rFonts w:hint="eastAsia" w:ascii="仿宋" w:hAnsi="仿宋" w:eastAsia="仿宋" w:cs="宋体"/>
                <w:color w:val="000000"/>
                <w:kern w:val="0"/>
                <w:sz w:val="24"/>
              </w:rPr>
              <w:t>，每</w:t>
            </w:r>
            <w:r>
              <w:rPr>
                <w:rFonts w:hint="eastAsia" w:ascii="仿宋" w:hAnsi="仿宋" w:eastAsia="仿宋" w:cs="宋体"/>
                <w:kern w:val="0"/>
                <w:sz w:val="24"/>
              </w:rPr>
              <w:t>有一个项目</w:t>
            </w:r>
            <w:r>
              <w:rPr>
                <w:rFonts w:hint="eastAsia" w:ascii="仿宋" w:hAnsi="仿宋" w:eastAsia="仿宋" w:cs="宋体"/>
                <w:color w:val="000000"/>
                <w:kern w:val="0"/>
                <w:sz w:val="24"/>
              </w:rPr>
              <w:t>项目得</w:t>
            </w:r>
            <w:r>
              <w:rPr>
                <w:rFonts w:ascii="仿宋" w:hAnsi="仿宋" w:eastAsia="仿宋" w:cs="宋体"/>
                <w:color w:val="000000"/>
                <w:kern w:val="0"/>
                <w:sz w:val="24"/>
              </w:rPr>
              <w:t>1</w:t>
            </w:r>
            <w:r>
              <w:rPr>
                <w:rFonts w:hint="eastAsia" w:ascii="仿宋" w:hAnsi="仿宋" w:eastAsia="仿宋" w:cs="宋体"/>
                <w:color w:val="000000"/>
                <w:kern w:val="0"/>
                <w:sz w:val="24"/>
              </w:rPr>
              <w:t>分，最多</w:t>
            </w:r>
            <w:r>
              <w:rPr>
                <w:rFonts w:ascii="仿宋" w:hAnsi="仿宋" w:eastAsia="仿宋" w:cs="宋体"/>
                <w:color w:val="000000"/>
                <w:kern w:val="0"/>
                <w:sz w:val="24"/>
              </w:rPr>
              <w:t>5</w:t>
            </w:r>
            <w:r>
              <w:rPr>
                <w:rFonts w:hint="eastAsia" w:ascii="仿宋" w:hAnsi="仿宋" w:eastAsia="仿宋" w:cs="宋体"/>
                <w:color w:val="000000"/>
                <w:kern w:val="0"/>
                <w:sz w:val="24"/>
              </w:rPr>
              <w:t>分。</w:t>
            </w:r>
          </w:p>
          <w:p w14:paraId="293C8C31">
            <w:pPr>
              <w:widowControl/>
              <w:spacing w:line="260" w:lineRule="exact"/>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近3年承担过卫生健康系统内单位的采购项目，每年代理项目数量≥</w:t>
            </w:r>
            <w:r>
              <w:rPr>
                <w:rFonts w:ascii="仿宋" w:hAnsi="仿宋" w:eastAsia="仿宋" w:cs="宋体"/>
                <w:color w:val="000000"/>
                <w:kern w:val="0"/>
                <w:sz w:val="24"/>
              </w:rPr>
              <w:t>40</w:t>
            </w:r>
            <w:r>
              <w:rPr>
                <w:rFonts w:hint="eastAsia" w:ascii="仿宋" w:hAnsi="仿宋" w:eastAsia="仿宋" w:cs="宋体"/>
                <w:color w:val="000000"/>
                <w:kern w:val="0"/>
                <w:sz w:val="24"/>
              </w:rPr>
              <w:t>件，每满足一年得</w:t>
            </w:r>
            <w:r>
              <w:rPr>
                <w:rFonts w:ascii="仿宋" w:hAnsi="仿宋" w:eastAsia="仿宋" w:cs="宋体"/>
                <w:color w:val="000000"/>
                <w:kern w:val="0"/>
                <w:sz w:val="24"/>
              </w:rPr>
              <w:t>1</w:t>
            </w:r>
            <w:r>
              <w:rPr>
                <w:rFonts w:hint="eastAsia" w:ascii="仿宋" w:hAnsi="仿宋" w:eastAsia="仿宋" w:cs="宋体"/>
                <w:color w:val="000000"/>
                <w:kern w:val="0"/>
                <w:sz w:val="24"/>
              </w:rPr>
              <w:t>分，最多</w:t>
            </w:r>
            <w:r>
              <w:rPr>
                <w:rFonts w:ascii="仿宋" w:hAnsi="仿宋" w:eastAsia="仿宋" w:cs="宋体"/>
                <w:color w:val="000000"/>
                <w:kern w:val="0"/>
                <w:sz w:val="24"/>
              </w:rPr>
              <w:t>3</w:t>
            </w:r>
            <w:r>
              <w:rPr>
                <w:rFonts w:hint="eastAsia" w:ascii="仿宋" w:hAnsi="仿宋" w:eastAsia="仿宋" w:cs="宋体"/>
                <w:color w:val="000000"/>
                <w:kern w:val="0"/>
                <w:sz w:val="24"/>
              </w:rPr>
              <w:t>分。</w:t>
            </w:r>
          </w:p>
          <w:p w14:paraId="750A5368">
            <w:pPr>
              <w:widowControl/>
              <w:spacing w:line="260" w:lineRule="exact"/>
              <w:rPr>
                <w:rFonts w:ascii="仿宋" w:hAnsi="仿宋" w:eastAsia="仿宋" w:cs="宋体"/>
                <w:color w:val="000000"/>
                <w:kern w:val="0"/>
                <w:sz w:val="24"/>
              </w:rPr>
            </w:pPr>
          </w:p>
          <w:p w14:paraId="76E47CAF">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注：第1项，提供对应卫生系统代理机构中标入围通知书、代理协议复印件并加盖公章，原件备查。第</w:t>
            </w:r>
            <w:r>
              <w:rPr>
                <w:rFonts w:ascii="仿宋" w:hAnsi="仿宋" w:eastAsia="仿宋" w:cs="宋体"/>
                <w:color w:val="000000"/>
                <w:kern w:val="0"/>
                <w:sz w:val="24"/>
              </w:rPr>
              <w:t>2</w:t>
            </w:r>
            <w:r>
              <w:rPr>
                <w:rFonts w:hint="eastAsia" w:ascii="仿宋" w:hAnsi="仿宋" w:eastAsia="仿宋" w:cs="宋体"/>
                <w:color w:val="000000"/>
                <w:kern w:val="0"/>
                <w:sz w:val="24"/>
              </w:rPr>
              <w:t>、</w:t>
            </w:r>
            <w:r>
              <w:rPr>
                <w:rFonts w:ascii="仿宋" w:hAnsi="仿宋" w:eastAsia="仿宋" w:cs="宋体"/>
                <w:color w:val="000000"/>
                <w:kern w:val="0"/>
                <w:sz w:val="24"/>
              </w:rPr>
              <w:t>3</w:t>
            </w:r>
            <w:r>
              <w:rPr>
                <w:rFonts w:hint="eastAsia" w:ascii="仿宋" w:hAnsi="仿宋" w:eastAsia="仿宋" w:cs="宋体"/>
                <w:color w:val="000000"/>
                <w:kern w:val="0"/>
                <w:sz w:val="24"/>
              </w:rPr>
              <w:t>项，提供符合条件的网页版中标公告并加盖公章，原件备查。同时满足第2、3项的项目，不重复得分。第</w:t>
            </w:r>
            <w:r>
              <w:rPr>
                <w:rFonts w:ascii="仿宋" w:hAnsi="仿宋" w:eastAsia="仿宋" w:cs="宋体"/>
                <w:color w:val="000000"/>
                <w:kern w:val="0"/>
                <w:sz w:val="24"/>
              </w:rPr>
              <w:t>4</w:t>
            </w:r>
            <w:r>
              <w:rPr>
                <w:rFonts w:hint="eastAsia" w:ascii="仿宋" w:hAnsi="仿宋" w:eastAsia="仿宋" w:cs="宋体"/>
                <w:color w:val="000000"/>
                <w:kern w:val="0"/>
                <w:sz w:val="24"/>
              </w:rPr>
              <w:t>项，提供代理公告、代理项目数量清单并加盖公章，原件备查。</w:t>
            </w:r>
          </w:p>
        </w:tc>
        <w:tc>
          <w:tcPr>
            <w:tcW w:w="992" w:type="dxa"/>
            <w:noWrap w:val="0"/>
            <w:vAlign w:val="center"/>
          </w:tcPr>
          <w:p w14:paraId="02A4A42B">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w:t>
            </w:r>
            <w:r>
              <w:rPr>
                <w:rFonts w:ascii="仿宋" w:hAnsi="仿宋" w:eastAsia="仿宋" w:cs="宋体"/>
                <w:color w:val="000000"/>
                <w:kern w:val="0"/>
                <w:sz w:val="24"/>
              </w:rPr>
              <w:t>5</w:t>
            </w:r>
            <w:r>
              <w:rPr>
                <w:rFonts w:hint="eastAsia" w:ascii="仿宋" w:hAnsi="仿宋" w:eastAsia="仿宋" w:cs="宋体"/>
                <w:color w:val="000000"/>
                <w:kern w:val="0"/>
                <w:sz w:val="24"/>
              </w:rPr>
              <w:t>分</w:t>
            </w:r>
          </w:p>
        </w:tc>
      </w:tr>
      <w:tr w14:paraId="12CC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96" w:type="dxa"/>
            <w:noWrap w:val="0"/>
            <w:vAlign w:val="center"/>
          </w:tcPr>
          <w:p w14:paraId="4BE01965">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776" w:type="dxa"/>
            <w:noWrap w:val="0"/>
            <w:vAlign w:val="center"/>
          </w:tcPr>
          <w:p w14:paraId="50696E82">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办公场所</w:t>
            </w:r>
          </w:p>
        </w:tc>
        <w:tc>
          <w:tcPr>
            <w:tcW w:w="7801" w:type="dxa"/>
            <w:noWrap w:val="0"/>
            <w:vAlign w:val="center"/>
          </w:tcPr>
          <w:p w14:paraId="26197795">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具备独立且录音录像设备完善的评标室，数量及得分：</w:t>
            </w:r>
          </w:p>
          <w:p w14:paraId="3DFBD7D7">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6个（含）以上得</w:t>
            </w:r>
            <w:r>
              <w:rPr>
                <w:rFonts w:hint="eastAsia" w:ascii="仿宋" w:hAnsi="仿宋" w:eastAsia="仿宋" w:cs="宋体"/>
                <w:color w:val="000000"/>
                <w:kern w:val="0"/>
                <w:sz w:val="24"/>
                <w:lang w:val="en-US" w:eastAsia="zh-CN"/>
              </w:rPr>
              <w:t>9</w:t>
            </w:r>
            <w:r>
              <w:rPr>
                <w:rFonts w:hint="eastAsia" w:ascii="仿宋" w:hAnsi="仿宋" w:eastAsia="仿宋" w:cs="宋体"/>
                <w:color w:val="000000"/>
                <w:kern w:val="0"/>
                <w:sz w:val="24"/>
              </w:rPr>
              <w:t>分；5个得</w:t>
            </w:r>
            <w:r>
              <w:rPr>
                <w:rFonts w:hint="eastAsia" w:ascii="仿宋" w:hAnsi="仿宋" w:eastAsia="仿宋" w:cs="宋体"/>
                <w:color w:val="000000"/>
                <w:kern w:val="0"/>
                <w:sz w:val="24"/>
                <w:lang w:val="en-US" w:eastAsia="zh-CN"/>
              </w:rPr>
              <w:t>7</w:t>
            </w:r>
            <w:r>
              <w:rPr>
                <w:rFonts w:hint="eastAsia" w:ascii="仿宋" w:hAnsi="仿宋" w:eastAsia="仿宋" w:cs="宋体"/>
                <w:color w:val="000000"/>
                <w:kern w:val="0"/>
                <w:sz w:val="24"/>
              </w:rPr>
              <w:t>分；3个得</w:t>
            </w:r>
            <w:r>
              <w:rPr>
                <w:rFonts w:hint="eastAsia" w:ascii="仿宋" w:hAnsi="仿宋" w:eastAsia="仿宋" w:cs="宋体"/>
                <w:color w:val="000000"/>
                <w:kern w:val="0"/>
                <w:sz w:val="24"/>
                <w:lang w:val="en-US" w:eastAsia="zh-CN"/>
              </w:rPr>
              <w:t>4</w:t>
            </w:r>
            <w:r>
              <w:rPr>
                <w:rFonts w:hint="eastAsia" w:ascii="仿宋" w:hAnsi="仿宋" w:eastAsia="仿宋" w:cs="宋体"/>
                <w:color w:val="000000"/>
                <w:kern w:val="0"/>
                <w:sz w:val="24"/>
              </w:rPr>
              <w:t>分；2个得</w:t>
            </w:r>
            <w:r>
              <w:rPr>
                <w:rFonts w:hint="eastAsia" w:ascii="仿宋" w:hAnsi="仿宋" w:eastAsia="仿宋" w:cs="宋体"/>
                <w:color w:val="000000"/>
                <w:kern w:val="0"/>
                <w:sz w:val="24"/>
                <w:lang w:val="en-US" w:eastAsia="zh-CN"/>
              </w:rPr>
              <w:t>2</w:t>
            </w:r>
            <w:r>
              <w:rPr>
                <w:rFonts w:hint="eastAsia" w:ascii="仿宋" w:hAnsi="仿宋" w:eastAsia="仿宋" w:cs="宋体"/>
                <w:color w:val="000000"/>
                <w:kern w:val="0"/>
                <w:sz w:val="24"/>
              </w:rPr>
              <w:t>分；</w:t>
            </w:r>
            <w:bookmarkStart w:id="0" w:name="_GoBack"/>
            <w:bookmarkEnd w:id="0"/>
            <w:r>
              <w:rPr>
                <w:rFonts w:hint="eastAsia" w:ascii="仿宋" w:hAnsi="仿宋" w:eastAsia="仿宋" w:cs="宋体"/>
                <w:color w:val="000000"/>
                <w:kern w:val="0"/>
                <w:sz w:val="24"/>
              </w:rPr>
              <w:t xml:space="preserve"> </w:t>
            </w:r>
          </w:p>
          <w:p w14:paraId="3F820A07">
            <w:pPr>
              <w:widowControl/>
              <w:spacing w:line="260" w:lineRule="exact"/>
              <w:rPr>
                <w:rFonts w:ascii="仿宋" w:hAnsi="仿宋" w:eastAsia="仿宋" w:cs="宋体"/>
                <w:color w:val="000000"/>
                <w:kern w:val="0"/>
                <w:sz w:val="24"/>
              </w:rPr>
            </w:pPr>
          </w:p>
          <w:p w14:paraId="2588C17B">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注：提供办公室产权证明或租赁协议、评标室彩色照片。</w:t>
            </w:r>
          </w:p>
        </w:tc>
        <w:tc>
          <w:tcPr>
            <w:tcW w:w="992" w:type="dxa"/>
            <w:noWrap w:val="0"/>
            <w:vAlign w:val="center"/>
          </w:tcPr>
          <w:p w14:paraId="23B0227F">
            <w:pPr>
              <w:widowControl/>
              <w:spacing w:line="260" w:lineRule="exact"/>
              <w:jc w:val="center"/>
              <w:rPr>
                <w:rFonts w:ascii="仿宋" w:hAnsi="仿宋" w:eastAsia="仿宋" w:cs="宋体"/>
                <w:color w:val="000000"/>
                <w:kern w:val="0"/>
                <w:sz w:val="24"/>
              </w:rPr>
            </w:pPr>
            <w:r>
              <w:rPr>
                <w:rFonts w:ascii="仿宋" w:hAnsi="仿宋" w:eastAsia="仿宋" w:cs="宋体"/>
                <w:color w:val="000000"/>
                <w:kern w:val="0"/>
                <w:sz w:val="24"/>
              </w:rPr>
              <w:t>9</w:t>
            </w:r>
            <w:r>
              <w:rPr>
                <w:rFonts w:hint="eastAsia" w:ascii="仿宋" w:hAnsi="仿宋" w:eastAsia="仿宋" w:cs="宋体"/>
                <w:color w:val="000000"/>
                <w:kern w:val="0"/>
                <w:sz w:val="24"/>
              </w:rPr>
              <w:t>分</w:t>
            </w:r>
          </w:p>
        </w:tc>
      </w:tr>
      <w:tr w14:paraId="799B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96" w:type="dxa"/>
            <w:noWrap w:val="0"/>
            <w:vAlign w:val="center"/>
          </w:tcPr>
          <w:p w14:paraId="5699A2BA">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776" w:type="dxa"/>
            <w:noWrap w:val="0"/>
            <w:vAlign w:val="center"/>
          </w:tcPr>
          <w:p w14:paraId="48945CEF">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企业认证</w:t>
            </w:r>
          </w:p>
        </w:tc>
        <w:tc>
          <w:tcPr>
            <w:tcW w:w="7801" w:type="dxa"/>
            <w:noWrap w:val="0"/>
            <w:vAlign w:val="center"/>
          </w:tcPr>
          <w:p w14:paraId="646FAC05">
            <w:pPr>
              <w:widowControl/>
              <w:spacing w:line="260" w:lineRule="exact"/>
              <w:rPr>
                <w:rFonts w:ascii="仿宋" w:hAnsi="仿宋" w:eastAsia="仿宋" w:cs="宋体"/>
                <w:kern w:val="0"/>
                <w:sz w:val="24"/>
              </w:rPr>
            </w:pPr>
            <w:r>
              <w:rPr>
                <w:rFonts w:hint="eastAsia" w:ascii="仿宋" w:hAnsi="仿宋" w:eastAsia="仿宋" w:cs="宋体"/>
                <w:color w:val="000000"/>
                <w:kern w:val="0"/>
                <w:sz w:val="24"/>
              </w:rPr>
              <w:t>具备经国家认监委批准的，认证机构颁发的在投标截止日有效期内的I</w:t>
            </w:r>
            <w:r>
              <w:rPr>
                <w:rFonts w:ascii="仿宋" w:hAnsi="仿宋" w:eastAsia="仿宋" w:cs="宋体"/>
                <w:color w:val="000000"/>
                <w:kern w:val="0"/>
                <w:sz w:val="24"/>
              </w:rPr>
              <w:t>SO9001</w:t>
            </w:r>
            <w:r>
              <w:rPr>
                <w:rFonts w:hint="eastAsia" w:ascii="仿宋" w:hAnsi="仿宋" w:eastAsia="仿宋" w:cs="宋体"/>
                <w:color w:val="000000"/>
                <w:kern w:val="0"/>
                <w:sz w:val="24"/>
              </w:rPr>
              <w:t>质量管理</w:t>
            </w:r>
            <w:r>
              <w:rPr>
                <w:rFonts w:hint="eastAsia" w:ascii="仿宋" w:hAnsi="仿宋" w:eastAsia="仿宋" w:cs="宋体"/>
                <w:kern w:val="0"/>
                <w:sz w:val="24"/>
              </w:rPr>
              <w:t>体系认证、</w:t>
            </w:r>
            <w:r>
              <w:rPr>
                <w:rFonts w:ascii="仿宋" w:hAnsi="仿宋" w:eastAsia="仿宋" w:cs="宋体"/>
                <w:kern w:val="0"/>
                <w:sz w:val="24"/>
              </w:rPr>
              <w:t>ISO45001</w:t>
            </w:r>
            <w:r>
              <w:rPr>
                <w:rFonts w:hint="eastAsia" w:ascii="仿宋" w:hAnsi="仿宋" w:eastAsia="仿宋" w:cs="宋体"/>
                <w:kern w:val="0"/>
                <w:sz w:val="24"/>
              </w:rPr>
              <w:t>职业健康安全管理体系认证、</w:t>
            </w:r>
            <w:r>
              <w:rPr>
                <w:rFonts w:ascii="仿宋" w:hAnsi="仿宋" w:eastAsia="仿宋" w:cs="宋体"/>
                <w:kern w:val="0"/>
                <w:sz w:val="24"/>
              </w:rPr>
              <w:t>ISO14001</w:t>
            </w:r>
            <w:r>
              <w:rPr>
                <w:rFonts w:hint="eastAsia" w:ascii="仿宋" w:hAnsi="仿宋" w:eastAsia="仿宋" w:cs="宋体"/>
                <w:kern w:val="0"/>
                <w:sz w:val="24"/>
              </w:rPr>
              <w:t>环境管理体系认证。每具备一项得</w:t>
            </w:r>
            <w:r>
              <w:rPr>
                <w:rFonts w:ascii="仿宋" w:hAnsi="仿宋" w:eastAsia="仿宋" w:cs="宋体"/>
                <w:kern w:val="0"/>
                <w:sz w:val="24"/>
              </w:rPr>
              <w:t>2分，最多得6分。</w:t>
            </w:r>
          </w:p>
          <w:p w14:paraId="2B8EA5FB">
            <w:pPr>
              <w:widowControl/>
              <w:spacing w:line="260" w:lineRule="exact"/>
              <w:rPr>
                <w:rFonts w:ascii="仿宋" w:hAnsi="仿宋" w:eastAsia="仿宋" w:cs="宋体"/>
                <w:kern w:val="0"/>
                <w:sz w:val="24"/>
              </w:rPr>
            </w:pPr>
          </w:p>
          <w:p w14:paraId="1883164A">
            <w:pPr>
              <w:widowControl/>
              <w:spacing w:line="260" w:lineRule="exact"/>
              <w:rPr>
                <w:rFonts w:ascii="仿宋" w:hAnsi="仿宋" w:eastAsia="仿宋" w:cs="宋体"/>
                <w:color w:val="000000"/>
                <w:kern w:val="0"/>
                <w:sz w:val="24"/>
              </w:rPr>
            </w:pPr>
            <w:r>
              <w:rPr>
                <w:rFonts w:hint="eastAsia" w:ascii="仿宋" w:hAnsi="仿宋" w:eastAsia="仿宋" w:cs="宋体"/>
                <w:color w:val="000000"/>
                <w:kern w:val="0"/>
                <w:sz w:val="24"/>
              </w:rPr>
              <w:t>注：提供证书复印件并加盖公章，原件备查。</w:t>
            </w:r>
          </w:p>
        </w:tc>
        <w:tc>
          <w:tcPr>
            <w:tcW w:w="992" w:type="dxa"/>
            <w:noWrap w:val="0"/>
            <w:vAlign w:val="center"/>
          </w:tcPr>
          <w:p w14:paraId="30F1B8ED">
            <w:pPr>
              <w:widowControl/>
              <w:spacing w:line="260" w:lineRule="exact"/>
              <w:jc w:val="center"/>
              <w:rPr>
                <w:rFonts w:ascii="仿宋" w:hAnsi="仿宋" w:eastAsia="仿宋" w:cs="宋体"/>
                <w:color w:val="000000"/>
                <w:kern w:val="0"/>
                <w:sz w:val="24"/>
              </w:rPr>
            </w:pPr>
            <w:r>
              <w:rPr>
                <w:rFonts w:hint="eastAsia" w:ascii="仿宋" w:hAnsi="仿宋" w:eastAsia="仿宋" w:cs="宋体"/>
                <w:color w:val="000000"/>
                <w:kern w:val="0"/>
                <w:sz w:val="24"/>
              </w:rPr>
              <w:t>6分</w:t>
            </w:r>
          </w:p>
        </w:tc>
      </w:tr>
      <w:tr w14:paraId="6899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dxa"/>
            <w:noWrap w:val="0"/>
            <w:vAlign w:val="center"/>
          </w:tcPr>
          <w:p w14:paraId="6E108A1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776" w:type="dxa"/>
            <w:noWrap w:val="0"/>
            <w:vAlign w:val="center"/>
          </w:tcPr>
          <w:p w14:paraId="51D361E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整体服务</w:t>
            </w:r>
          </w:p>
        </w:tc>
        <w:tc>
          <w:tcPr>
            <w:tcW w:w="7801" w:type="dxa"/>
            <w:noWrap w:val="0"/>
            <w:vAlign w:val="center"/>
          </w:tcPr>
          <w:p w14:paraId="188EEFC6">
            <w:pPr>
              <w:widowControl/>
              <w:rPr>
                <w:rFonts w:ascii="仿宋" w:hAnsi="仿宋" w:eastAsia="仿宋" w:cs="宋体"/>
                <w:color w:val="000000"/>
                <w:kern w:val="0"/>
                <w:sz w:val="24"/>
              </w:rPr>
            </w:pPr>
            <w:r>
              <w:rPr>
                <w:rFonts w:hint="eastAsia" w:ascii="仿宋" w:hAnsi="仿宋" w:eastAsia="仿宋" w:cs="宋体"/>
                <w:color w:val="000000"/>
                <w:kern w:val="0"/>
                <w:sz w:val="24"/>
              </w:rPr>
              <w:t>提供内容完整、细致周密的整体服务方案。</w:t>
            </w:r>
          </w:p>
          <w:p w14:paraId="72E19F5F">
            <w:pPr>
              <w:widowControl/>
              <w:rPr>
                <w:rFonts w:ascii="仿宋" w:hAnsi="仿宋" w:eastAsia="仿宋" w:cs="宋体"/>
                <w:color w:val="000000"/>
                <w:kern w:val="0"/>
                <w:sz w:val="24"/>
              </w:rPr>
            </w:pPr>
          </w:p>
          <w:p w14:paraId="6B4D9A34">
            <w:pPr>
              <w:widowControl/>
              <w:rPr>
                <w:rFonts w:ascii="仿宋" w:hAnsi="仿宋" w:eastAsia="仿宋" w:cs="宋体"/>
                <w:color w:val="000000"/>
                <w:kern w:val="0"/>
                <w:sz w:val="24"/>
              </w:rPr>
            </w:pPr>
            <w:r>
              <w:rPr>
                <w:rFonts w:hint="eastAsia" w:ascii="仿宋" w:hAnsi="仿宋" w:eastAsia="仿宋" w:cs="宋体"/>
                <w:color w:val="000000"/>
                <w:kern w:val="0"/>
                <w:sz w:val="24"/>
              </w:rPr>
              <w:t>评分标准：内容完整，符合项目实际情况，完全满足要求：</w:t>
            </w:r>
            <w:r>
              <w:rPr>
                <w:rFonts w:ascii="仿宋" w:hAnsi="仿宋" w:eastAsia="仿宋" w:cs="宋体"/>
                <w:color w:val="000000"/>
                <w:kern w:val="0"/>
                <w:sz w:val="24"/>
              </w:rPr>
              <w:t>4</w:t>
            </w:r>
            <w:r>
              <w:rPr>
                <w:rFonts w:hint="eastAsia" w:ascii="仿宋" w:hAnsi="仿宋" w:eastAsia="仿宋" w:cs="宋体"/>
                <w:color w:val="000000"/>
                <w:kern w:val="0"/>
                <w:sz w:val="24"/>
              </w:rPr>
              <w:t>分；内容较完整，基本符合实际情况：2分；内容缺失较多，较多不符合项目实际情况：1分。</w:t>
            </w:r>
          </w:p>
        </w:tc>
        <w:tc>
          <w:tcPr>
            <w:tcW w:w="992" w:type="dxa"/>
            <w:noWrap w:val="0"/>
            <w:vAlign w:val="center"/>
          </w:tcPr>
          <w:p w14:paraId="41385B45">
            <w:pPr>
              <w:widowControl/>
              <w:jc w:val="center"/>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分</w:t>
            </w:r>
          </w:p>
        </w:tc>
      </w:tr>
      <w:tr w14:paraId="1419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dxa"/>
            <w:noWrap w:val="0"/>
            <w:vAlign w:val="center"/>
          </w:tcPr>
          <w:p w14:paraId="371B541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776" w:type="dxa"/>
            <w:noWrap w:val="0"/>
            <w:vAlign w:val="center"/>
          </w:tcPr>
          <w:p w14:paraId="4926B09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管理制度</w:t>
            </w:r>
          </w:p>
        </w:tc>
        <w:tc>
          <w:tcPr>
            <w:tcW w:w="7801" w:type="dxa"/>
            <w:noWrap w:val="0"/>
            <w:vAlign w:val="center"/>
          </w:tcPr>
          <w:p w14:paraId="78FFA5FC">
            <w:pPr>
              <w:widowControl/>
              <w:rPr>
                <w:rFonts w:ascii="仿宋" w:hAnsi="仿宋" w:eastAsia="仿宋" w:cs="宋体"/>
                <w:color w:val="000000"/>
                <w:kern w:val="0"/>
                <w:sz w:val="24"/>
              </w:rPr>
            </w:pPr>
            <w:r>
              <w:rPr>
                <w:rFonts w:hint="eastAsia" w:ascii="仿宋" w:hAnsi="仿宋" w:eastAsia="仿宋" w:cs="宋体"/>
                <w:color w:val="000000"/>
                <w:kern w:val="0"/>
                <w:sz w:val="24"/>
              </w:rPr>
              <w:t>提供健全的管理制度体系，包括人力资源管理制度、财务管理制度、风险控制制度、业务培训制度、考核制度。</w:t>
            </w:r>
          </w:p>
          <w:p w14:paraId="7ACA9062">
            <w:pPr>
              <w:jc w:val="left"/>
              <w:rPr>
                <w:rFonts w:ascii="仿宋" w:hAnsi="仿宋" w:eastAsia="仿宋" w:cs="宋体"/>
                <w:color w:val="000000"/>
                <w:kern w:val="0"/>
                <w:sz w:val="24"/>
              </w:rPr>
            </w:pPr>
          </w:p>
          <w:p w14:paraId="0B2323BF">
            <w:pPr>
              <w:jc w:val="left"/>
              <w:rPr>
                <w:rFonts w:ascii="仿宋" w:hAnsi="仿宋" w:eastAsia="仿宋" w:cs="宋体"/>
                <w:color w:val="000000"/>
                <w:kern w:val="0"/>
                <w:sz w:val="24"/>
              </w:rPr>
            </w:pPr>
            <w:r>
              <w:rPr>
                <w:rFonts w:hint="eastAsia" w:ascii="仿宋" w:hAnsi="仿宋" w:eastAsia="仿宋" w:cs="宋体"/>
                <w:color w:val="000000"/>
                <w:kern w:val="0"/>
                <w:sz w:val="24"/>
              </w:rPr>
              <w:t>评分标准：内容完整，科学合理，完全满足要求：</w:t>
            </w:r>
            <w:r>
              <w:rPr>
                <w:rFonts w:ascii="仿宋" w:hAnsi="仿宋" w:eastAsia="仿宋" w:cs="宋体"/>
                <w:color w:val="000000"/>
                <w:kern w:val="0"/>
                <w:sz w:val="24"/>
              </w:rPr>
              <w:t>4</w:t>
            </w:r>
            <w:r>
              <w:rPr>
                <w:rFonts w:hint="eastAsia" w:ascii="仿宋" w:hAnsi="仿宋" w:eastAsia="仿宋" w:cs="宋体"/>
                <w:color w:val="000000"/>
                <w:kern w:val="0"/>
                <w:sz w:val="24"/>
              </w:rPr>
              <w:t>分；内容比较完整合理，基本满足需求：2分；内容缺失较多，缺乏合理性：1分。</w:t>
            </w:r>
          </w:p>
        </w:tc>
        <w:tc>
          <w:tcPr>
            <w:tcW w:w="992" w:type="dxa"/>
            <w:noWrap w:val="0"/>
            <w:vAlign w:val="center"/>
          </w:tcPr>
          <w:p w14:paraId="17065417">
            <w:pPr>
              <w:widowControl/>
              <w:jc w:val="center"/>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分</w:t>
            </w:r>
          </w:p>
        </w:tc>
      </w:tr>
      <w:tr w14:paraId="391A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dxa"/>
            <w:noWrap w:val="0"/>
            <w:vAlign w:val="center"/>
          </w:tcPr>
          <w:p w14:paraId="4ABC5BF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776" w:type="dxa"/>
            <w:noWrap w:val="0"/>
            <w:vAlign w:val="center"/>
          </w:tcPr>
          <w:p w14:paraId="4D64484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质量控制</w:t>
            </w:r>
          </w:p>
        </w:tc>
        <w:tc>
          <w:tcPr>
            <w:tcW w:w="7801" w:type="dxa"/>
            <w:noWrap w:val="0"/>
            <w:vAlign w:val="center"/>
          </w:tcPr>
          <w:p w14:paraId="32480B19">
            <w:pPr>
              <w:jc w:val="left"/>
              <w:rPr>
                <w:rFonts w:ascii="仿宋" w:hAnsi="仿宋" w:eastAsia="仿宋" w:cs="宋体"/>
                <w:color w:val="000000"/>
                <w:kern w:val="0"/>
                <w:sz w:val="24"/>
              </w:rPr>
            </w:pPr>
            <w:r>
              <w:rPr>
                <w:rFonts w:hint="eastAsia" w:ascii="仿宋" w:hAnsi="仿宋" w:eastAsia="仿宋" w:cs="宋体"/>
                <w:color w:val="000000"/>
                <w:kern w:val="0"/>
                <w:sz w:val="24"/>
              </w:rPr>
              <w:t>提供健全的质量控制体系，服务质量保障措施。</w:t>
            </w:r>
          </w:p>
          <w:p w14:paraId="0D684E32">
            <w:pPr>
              <w:jc w:val="left"/>
              <w:rPr>
                <w:rFonts w:ascii="仿宋" w:hAnsi="仿宋" w:eastAsia="仿宋" w:cs="宋体"/>
                <w:color w:val="000000"/>
                <w:kern w:val="0"/>
                <w:sz w:val="24"/>
              </w:rPr>
            </w:pPr>
          </w:p>
          <w:p w14:paraId="34C065F3">
            <w:pPr>
              <w:jc w:val="left"/>
              <w:rPr>
                <w:rFonts w:ascii="仿宋" w:hAnsi="仿宋" w:eastAsia="仿宋" w:cs="宋体"/>
                <w:color w:val="000000"/>
                <w:kern w:val="0"/>
                <w:sz w:val="24"/>
              </w:rPr>
            </w:pPr>
            <w:r>
              <w:rPr>
                <w:rFonts w:hint="eastAsia" w:ascii="仿宋" w:hAnsi="仿宋" w:eastAsia="仿宋" w:cs="宋体"/>
                <w:color w:val="000000"/>
                <w:kern w:val="0"/>
                <w:sz w:val="24"/>
              </w:rPr>
              <w:t>评分标准：质控体系完善，措施合理，完全满足要求：</w:t>
            </w:r>
            <w:r>
              <w:rPr>
                <w:rFonts w:ascii="仿宋" w:hAnsi="仿宋" w:eastAsia="仿宋" w:cs="宋体"/>
                <w:color w:val="000000"/>
                <w:kern w:val="0"/>
                <w:sz w:val="24"/>
              </w:rPr>
              <w:t>4</w:t>
            </w:r>
            <w:r>
              <w:rPr>
                <w:rFonts w:hint="eastAsia" w:ascii="仿宋" w:hAnsi="仿宋" w:eastAsia="仿宋" w:cs="宋体"/>
                <w:color w:val="000000"/>
                <w:kern w:val="0"/>
                <w:sz w:val="24"/>
              </w:rPr>
              <w:t>分；质控体系比较完善，措施较合理，基本满足要求：2分；质控体系不完善，措施缺乏合理性：1分。</w:t>
            </w:r>
          </w:p>
        </w:tc>
        <w:tc>
          <w:tcPr>
            <w:tcW w:w="992" w:type="dxa"/>
            <w:noWrap w:val="0"/>
            <w:vAlign w:val="center"/>
          </w:tcPr>
          <w:p w14:paraId="076243D4">
            <w:pPr>
              <w:widowControl/>
              <w:jc w:val="center"/>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分</w:t>
            </w:r>
          </w:p>
        </w:tc>
      </w:tr>
      <w:tr w14:paraId="298E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dxa"/>
            <w:noWrap w:val="0"/>
            <w:vAlign w:val="center"/>
          </w:tcPr>
          <w:p w14:paraId="134B5F7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776" w:type="dxa"/>
            <w:noWrap w:val="0"/>
            <w:vAlign w:val="center"/>
          </w:tcPr>
          <w:p w14:paraId="6289F16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信息保密</w:t>
            </w:r>
          </w:p>
        </w:tc>
        <w:tc>
          <w:tcPr>
            <w:tcW w:w="7801" w:type="dxa"/>
            <w:noWrap w:val="0"/>
            <w:vAlign w:val="center"/>
          </w:tcPr>
          <w:p w14:paraId="2C6809C5">
            <w:pPr>
              <w:jc w:val="left"/>
              <w:rPr>
                <w:rFonts w:ascii="仿宋" w:hAnsi="仿宋" w:eastAsia="仿宋" w:cs="宋体"/>
                <w:color w:val="000000"/>
                <w:kern w:val="0"/>
                <w:sz w:val="24"/>
              </w:rPr>
            </w:pPr>
            <w:r>
              <w:rPr>
                <w:rFonts w:hint="eastAsia" w:ascii="仿宋" w:hAnsi="仿宋" w:eastAsia="仿宋" w:cs="宋体"/>
                <w:color w:val="000000"/>
                <w:kern w:val="0"/>
                <w:sz w:val="24"/>
              </w:rPr>
              <w:t>提供健全的信息保密方案，及信息保密措施。</w:t>
            </w:r>
          </w:p>
          <w:p w14:paraId="1F5E8057">
            <w:pPr>
              <w:jc w:val="left"/>
              <w:rPr>
                <w:rFonts w:ascii="仿宋" w:hAnsi="仿宋" w:eastAsia="仿宋" w:cs="宋体"/>
                <w:color w:val="000000"/>
                <w:kern w:val="0"/>
                <w:sz w:val="24"/>
              </w:rPr>
            </w:pPr>
          </w:p>
          <w:p w14:paraId="00F3DEF6">
            <w:pPr>
              <w:jc w:val="left"/>
              <w:rPr>
                <w:rFonts w:ascii="仿宋" w:hAnsi="仿宋" w:eastAsia="仿宋" w:cs="宋体"/>
                <w:color w:val="000000"/>
                <w:kern w:val="0"/>
                <w:sz w:val="24"/>
              </w:rPr>
            </w:pPr>
            <w:r>
              <w:rPr>
                <w:rFonts w:hint="eastAsia" w:ascii="仿宋" w:hAnsi="仿宋" w:eastAsia="仿宋" w:cs="宋体"/>
                <w:color w:val="000000"/>
                <w:kern w:val="0"/>
                <w:sz w:val="24"/>
              </w:rPr>
              <w:t>评分标准：方案健全，措施合理，符合项目实际情况，完全满足要求：</w:t>
            </w:r>
            <w:r>
              <w:rPr>
                <w:rFonts w:ascii="仿宋" w:hAnsi="仿宋" w:eastAsia="仿宋" w:cs="宋体"/>
                <w:color w:val="000000"/>
                <w:kern w:val="0"/>
                <w:sz w:val="24"/>
              </w:rPr>
              <w:t>4</w:t>
            </w:r>
            <w:r>
              <w:rPr>
                <w:rFonts w:hint="eastAsia" w:ascii="仿宋" w:hAnsi="仿宋" w:eastAsia="仿宋" w:cs="宋体"/>
                <w:color w:val="000000"/>
                <w:kern w:val="0"/>
                <w:sz w:val="24"/>
              </w:rPr>
              <w:t>分；方案比较健全，措施比较合理，比较符合项目实际情况，基本满足要求：2分；方案不健全，措施缺乏合理性：1分。</w:t>
            </w:r>
          </w:p>
        </w:tc>
        <w:tc>
          <w:tcPr>
            <w:tcW w:w="992" w:type="dxa"/>
            <w:noWrap w:val="0"/>
            <w:vAlign w:val="center"/>
          </w:tcPr>
          <w:p w14:paraId="74D44338">
            <w:pPr>
              <w:widowControl/>
              <w:jc w:val="center"/>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分</w:t>
            </w:r>
          </w:p>
        </w:tc>
      </w:tr>
      <w:tr w14:paraId="37B0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dxa"/>
            <w:noWrap w:val="0"/>
            <w:vAlign w:val="center"/>
          </w:tcPr>
          <w:p w14:paraId="78080BD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776" w:type="dxa"/>
            <w:noWrap w:val="0"/>
            <w:vAlign w:val="center"/>
          </w:tcPr>
          <w:p w14:paraId="2ADAC94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资料档案管理</w:t>
            </w:r>
          </w:p>
        </w:tc>
        <w:tc>
          <w:tcPr>
            <w:tcW w:w="7801" w:type="dxa"/>
            <w:noWrap w:val="0"/>
            <w:vAlign w:val="center"/>
          </w:tcPr>
          <w:p w14:paraId="61E03F51">
            <w:pPr>
              <w:jc w:val="left"/>
              <w:rPr>
                <w:rFonts w:ascii="仿宋" w:hAnsi="仿宋" w:eastAsia="仿宋" w:cs="宋体"/>
                <w:color w:val="000000"/>
                <w:kern w:val="0"/>
                <w:sz w:val="24"/>
              </w:rPr>
            </w:pPr>
            <w:r>
              <w:rPr>
                <w:rFonts w:hint="eastAsia" w:ascii="仿宋" w:hAnsi="仿宋" w:eastAsia="仿宋" w:cs="宋体"/>
                <w:color w:val="000000"/>
                <w:kern w:val="0"/>
                <w:sz w:val="24"/>
              </w:rPr>
              <w:t>提供健全的资料档案管理体系，及资料档案保管措施。</w:t>
            </w:r>
          </w:p>
          <w:p w14:paraId="54167533">
            <w:pPr>
              <w:jc w:val="left"/>
              <w:rPr>
                <w:rFonts w:ascii="仿宋" w:hAnsi="仿宋" w:eastAsia="仿宋" w:cs="宋体"/>
                <w:color w:val="000000"/>
                <w:kern w:val="0"/>
                <w:sz w:val="24"/>
              </w:rPr>
            </w:pPr>
          </w:p>
          <w:p w14:paraId="084DA6A2">
            <w:pPr>
              <w:jc w:val="left"/>
              <w:rPr>
                <w:rFonts w:ascii="仿宋" w:hAnsi="仿宋" w:eastAsia="仿宋" w:cs="宋体"/>
                <w:color w:val="000000"/>
                <w:kern w:val="0"/>
                <w:sz w:val="24"/>
              </w:rPr>
            </w:pPr>
            <w:r>
              <w:rPr>
                <w:rFonts w:hint="eastAsia" w:ascii="仿宋" w:hAnsi="仿宋" w:eastAsia="仿宋" w:cs="宋体"/>
                <w:color w:val="000000"/>
                <w:kern w:val="0"/>
                <w:sz w:val="24"/>
              </w:rPr>
              <w:t>评分标准：方案健全，措施合理，资料完整，交付及时，完全满足要求：</w:t>
            </w:r>
            <w:r>
              <w:rPr>
                <w:rFonts w:ascii="仿宋" w:hAnsi="仿宋" w:eastAsia="仿宋" w:cs="宋体"/>
                <w:color w:val="000000"/>
                <w:kern w:val="0"/>
                <w:sz w:val="24"/>
              </w:rPr>
              <w:t>4</w:t>
            </w:r>
            <w:r>
              <w:rPr>
                <w:rFonts w:hint="eastAsia" w:ascii="仿宋" w:hAnsi="仿宋" w:eastAsia="仿宋" w:cs="宋体"/>
                <w:color w:val="000000"/>
                <w:kern w:val="0"/>
                <w:sz w:val="24"/>
              </w:rPr>
              <w:t>分；部分内容有缺失：2分；内容缺失较多，不符合项目实际情况：1分。</w:t>
            </w:r>
          </w:p>
        </w:tc>
        <w:tc>
          <w:tcPr>
            <w:tcW w:w="992" w:type="dxa"/>
            <w:noWrap w:val="0"/>
            <w:vAlign w:val="center"/>
          </w:tcPr>
          <w:p w14:paraId="2D2A8EB8">
            <w:pPr>
              <w:widowControl/>
              <w:jc w:val="center"/>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分</w:t>
            </w:r>
          </w:p>
        </w:tc>
      </w:tr>
      <w:tr w14:paraId="7F9B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dxa"/>
            <w:noWrap w:val="0"/>
            <w:vAlign w:val="center"/>
          </w:tcPr>
          <w:p w14:paraId="48CFF8C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776" w:type="dxa"/>
            <w:noWrap w:val="0"/>
            <w:vAlign w:val="center"/>
          </w:tcPr>
          <w:p w14:paraId="073D2FC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质疑投诉与应急处理</w:t>
            </w:r>
          </w:p>
        </w:tc>
        <w:tc>
          <w:tcPr>
            <w:tcW w:w="7801" w:type="dxa"/>
            <w:noWrap w:val="0"/>
            <w:vAlign w:val="center"/>
          </w:tcPr>
          <w:p w14:paraId="3D8F0FE6">
            <w:pPr>
              <w:rPr>
                <w:rFonts w:ascii="仿宋" w:hAnsi="仿宋" w:eastAsia="仿宋" w:cs="宋体"/>
                <w:color w:val="000000"/>
                <w:kern w:val="0"/>
                <w:sz w:val="24"/>
              </w:rPr>
            </w:pPr>
            <w:r>
              <w:rPr>
                <w:rFonts w:hint="eastAsia" w:ascii="仿宋" w:hAnsi="仿宋" w:eastAsia="仿宋" w:cs="宋体"/>
                <w:color w:val="000000"/>
                <w:kern w:val="0"/>
                <w:sz w:val="24"/>
              </w:rPr>
              <w:t>提供内容完整、具备可行性的质疑投诉工作预案、紧急采购项目应急工作预案，提供有针对性的预防措施和方案。</w:t>
            </w:r>
          </w:p>
          <w:p w14:paraId="31BB2688">
            <w:pPr>
              <w:rPr>
                <w:rFonts w:ascii="仿宋" w:hAnsi="仿宋" w:eastAsia="仿宋" w:cs="宋体"/>
                <w:color w:val="000000"/>
                <w:kern w:val="0"/>
                <w:sz w:val="24"/>
              </w:rPr>
            </w:pPr>
          </w:p>
          <w:p w14:paraId="6ADAEB45">
            <w:pPr>
              <w:rPr>
                <w:rFonts w:ascii="仿宋" w:hAnsi="仿宋" w:eastAsia="仿宋" w:cs="宋体"/>
                <w:color w:val="000000"/>
                <w:kern w:val="0"/>
                <w:sz w:val="24"/>
              </w:rPr>
            </w:pPr>
            <w:r>
              <w:rPr>
                <w:rFonts w:hint="eastAsia" w:ascii="仿宋" w:hAnsi="仿宋" w:eastAsia="仿宋" w:cs="宋体"/>
                <w:color w:val="000000"/>
                <w:kern w:val="0"/>
                <w:sz w:val="24"/>
              </w:rPr>
              <w:t>评分标准：措施方案内容完整，提供既往真实案例分析，政策及相关法律依据把握准确：</w:t>
            </w:r>
            <w:r>
              <w:rPr>
                <w:rFonts w:ascii="仿宋" w:hAnsi="仿宋" w:eastAsia="仿宋" w:cs="宋体"/>
                <w:color w:val="000000"/>
                <w:kern w:val="0"/>
                <w:sz w:val="24"/>
              </w:rPr>
              <w:t>4</w:t>
            </w:r>
            <w:r>
              <w:rPr>
                <w:rFonts w:hint="eastAsia" w:ascii="仿宋" w:hAnsi="仿宋" w:eastAsia="仿宋" w:cs="宋体"/>
                <w:color w:val="000000"/>
                <w:kern w:val="0"/>
                <w:sz w:val="24"/>
              </w:rPr>
              <w:t>分；部分内容有缺失：2分；内容缺失较多，不符合项目实际情况：1分。</w:t>
            </w:r>
          </w:p>
        </w:tc>
        <w:tc>
          <w:tcPr>
            <w:tcW w:w="992" w:type="dxa"/>
            <w:noWrap w:val="0"/>
            <w:vAlign w:val="center"/>
          </w:tcPr>
          <w:p w14:paraId="7550B81A">
            <w:pPr>
              <w:widowControl/>
              <w:jc w:val="center"/>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分</w:t>
            </w:r>
          </w:p>
        </w:tc>
      </w:tr>
      <w:tr w14:paraId="7FFF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dxa"/>
            <w:noWrap w:val="0"/>
            <w:vAlign w:val="center"/>
          </w:tcPr>
          <w:p w14:paraId="4CC5E4C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w:t>
            </w:r>
          </w:p>
        </w:tc>
        <w:tc>
          <w:tcPr>
            <w:tcW w:w="776" w:type="dxa"/>
            <w:noWrap w:val="0"/>
            <w:vAlign w:val="center"/>
          </w:tcPr>
          <w:p w14:paraId="3C65293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配合沟通</w:t>
            </w:r>
          </w:p>
        </w:tc>
        <w:tc>
          <w:tcPr>
            <w:tcW w:w="7801" w:type="dxa"/>
            <w:noWrap w:val="0"/>
            <w:vAlign w:val="center"/>
          </w:tcPr>
          <w:p w14:paraId="50E907F4">
            <w:pPr>
              <w:jc w:val="left"/>
              <w:rPr>
                <w:rFonts w:ascii="仿宋" w:hAnsi="仿宋" w:eastAsia="仿宋" w:cs="宋体"/>
                <w:color w:val="000000"/>
                <w:kern w:val="0"/>
                <w:sz w:val="24"/>
              </w:rPr>
            </w:pPr>
            <w:r>
              <w:rPr>
                <w:rFonts w:hint="eastAsia" w:ascii="仿宋" w:hAnsi="仿宋" w:eastAsia="仿宋" w:cs="宋体"/>
                <w:color w:val="000000"/>
                <w:kern w:val="0"/>
                <w:sz w:val="24"/>
              </w:rPr>
              <w:t>提供配合沟通方案，能够及时解决处理问题，保证采购项目顺利推进。</w:t>
            </w:r>
          </w:p>
          <w:p w14:paraId="69556A8C">
            <w:pPr>
              <w:jc w:val="left"/>
              <w:rPr>
                <w:rFonts w:ascii="仿宋" w:hAnsi="仿宋" w:eastAsia="仿宋" w:cs="宋体"/>
                <w:color w:val="000000"/>
                <w:kern w:val="0"/>
                <w:sz w:val="24"/>
              </w:rPr>
            </w:pPr>
          </w:p>
          <w:p w14:paraId="68D4C8BB">
            <w:pPr>
              <w:jc w:val="left"/>
              <w:rPr>
                <w:rFonts w:ascii="仿宋" w:hAnsi="仿宋" w:eastAsia="仿宋" w:cs="宋体"/>
                <w:color w:val="000000"/>
                <w:kern w:val="0"/>
                <w:sz w:val="24"/>
              </w:rPr>
            </w:pPr>
            <w:r>
              <w:rPr>
                <w:rFonts w:hint="eastAsia" w:ascii="仿宋" w:hAnsi="仿宋" w:eastAsia="仿宋" w:cs="宋体"/>
                <w:color w:val="000000"/>
                <w:kern w:val="0"/>
                <w:sz w:val="24"/>
              </w:rPr>
              <w:t>评分标准：方案具有可行性，操作性强：3分；部分内容有缺失：2分；内容缺失较多，不符合项目实际情况：1分。</w:t>
            </w:r>
          </w:p>
        </w:tc>
        <w:tc>
          <w:tcPr>
            <w:tcW w:w="992" w:type="dxa"/>
            <w:noWrap w:val="0"/>
            <w:vAlign w:val="center"/>
          </w:tcPr>
          <w:p w14:paraId="4982746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3分</w:t>
            </w:r>
          </w:p>
        </w:tc>
      </w:tr>
      <w:tr w14:paraId="6F20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dxa"/>
            <w:noWrap w:val="0"/>
            <w:vAlign w:val="center"/>
          </w:tcPr>
          <w:p w14:paraId="31C19AD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776" w:type="dxa"/>
            <w:noWrap w:val="0"/>
            <w:vAlign w:val="center"/>
          </w:tcPr>
          <w:p w14:paraId="7C4F2BE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围标、串标和虚假投标应对措施</w:t>
            </w:r>
          </w:p>
        </w:tc>
        <w:tc>
          <w:tcPr>
            <w:tcW w:w="7801" w:type="dxa"/>
            <w:noWrap w:val="0"/>
            <w:vAlign w:val="center"/>
          </w:tcPr>
          <w:p w14:paraId="5FC45136">
            <w:pPr>
              <w:jc w:val="left"/>
              <w:rPr>
                <w:rFonts w:ascii="仿宋" w:hAnsi="仿宋" w:eastAsia="仿宋" w:cs="宋体"/>
                <w:color w:val="000000"/>
                <w:kern w:val="0"/>
                <w:sz w:val="24"/>
              </w:rPr>
            </w:pPr>
            <w:r>
              <w:rPr>
                <w:rFonts w:hint="eastAsia" w:ascii="仿宋" w:hAnsi="仿宋" w:eastAsia="仿宋" w:cs="宋体"/>
                <w:color w:val="000000"/>
                <w:kern w:val="0"/>
                <w:sz w:val="24"/>
              </w:rPr>
              <w:t>提供围标、串标和虚假投标应对措施及应对方案，保障项目合法合规，提供专项工作方案和应对措施，以防范和发现围标、串标和虚假投标等违法违规行为。</w:t>
            </w:r>
          </w:p>
          <w:p w14:paraId="23DD96C6">
            <w:pPr>
              <w:jc w:val="left"/>
              <w:rPr>
                <w:rFonts w:ascii="仿宋" w:hAnsi="仿宋" w:eastAsia="仿宋" w:cs="宋体"/>
                <w:color w:val="000000"/>
                <w:kern w:val="0"/>
                <w:sz w:val="24"/>
              </w:rPr>
            </w:pPr>
          </w:p>
          <w:p w14:paraId="121F5BEC">
            <w:pPr>
              <w:jc w:val="left"/>
              <w:rPr>
                <w:rFonts w:ascii="仿宋" w:hAnsi="仿宋" w:eastAsia="仿宋" w:cs="宋体"/>
                <w:color w:val="000000"/>
                <w:kern w:val="0"/>
                <w:sz w:val="24"/>
              </w:rPr>
            </w:pPr>
            <w:r>
              <w:rPr>
                <w:rFonts w:hint="eastAsia" w:ascii="仿宋" w:hAnsi="仿宋" w:eastAsia="仿宋" w:cs="宋体"/>
                <w:color w:val="000000"/>
                <w:kern w:val="0"/>
                <w:sz w:val="24"/>
              </w:rPr>
              <w:t>评分标准：措施方案内容完整，政策及相关法律依据把握准确，符合项目实际情况，完全满足要求：3分；措施方案内容较完整，政策把握较准确，比较符合项目实际情况，基本满足要求：2分；措施方案内容欠缺，政策把握不够准确：1分。</w:t>
            </w:r>
          </w:p>
        </w:tc>
        <w:tc>
          <w:tcPr>
            <w:tcW w:w="992" w:type="dxa"/>
            <w:noWrap w:val="0"/>
            <w:vAlign w:val="center"/>
          </w:tcPr>
          <w:p w14:paraId="7DD7FBB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3分</w:t>
            </w:r>
          </w:p>
        </w:tc>
      </w:tr>
      <w:tr w14:paraId="4292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073" w:type="dxa"/>
            <w:gridSpan w:val="3"/>
            <w:noWrap w:val="0"/>
            <w:vAlign w:val="center"/>
          </w:tcPr>
          <w:p w14:paraId="58E6FBDB">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总分</w:t>
            </w:r>
          </w:p>
        </w:tc>
        <w:tc>
          <w:tcPr>
            <w:tcW w:w="992" w:type="dxa"/>
            <w:noWrap w:val="0"/>
            <w:vAlign w:val="center"/>
          </w:tcPr>
          <w:p w14:paraId="06D2EF11">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100分</w:t>
            </w:r>
          </w:p>
        </w:tc>
      </w:tr>
    </w:tbl>
    <w:p w14:paraId="7A7F3EC4">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32"/>
          <w:szCs w:val="40"/>
          <w:lang w:val="en-US" w:eastAsia="zh-CN"/>
        </w:rPr>
      </w:pPr>
      <w:r>
        <w:rPr>
          <w:rFonts w:hint="default"/>
          <w:lang w:val="en-US" w:eastAsia="zh-CN"/>
        </w:rPr>
        <w:br w:type="page"/>
      </w:r>
      <w:r>
        <w:rPr>
          <w:rFonts w:hint="eastAsia" w:ascii="黑体" w:hAnsi="黑体" w:eastAsia="黑体" w:cs="黑体"/>
          <w:sz w:val="32"/>
          <w:szCs w:val="40"/>
          <w:lang w:val="en-US" w:eastAsia="zh-CN"/>
        </w:rPr>
        <w:t>附件3</w:t>
      </w:r>
    </w:p>
    <w:p w14:paraId="59653B9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法定代表人授权书格式</w:t>
      </w:r>
    </w:p>
    <w:p w14:paraId="3C032EAA">
      <w:pPr>
        <w:snapToGrid w:val="0"/>
        <w:spacing w:line="560" w:lineRule="exact"/>
        <w:ind w:firstLine="482"/>
        <w:rPr>
          <w:rFonts w:ascii="仿宋" w:hAnsi="仿宋" w:eastAsia="仿宋"/>
          <w:sz w:val="32"/>
          <w:szCs w:val="32"/>
        </w:rPr>
      </w:pPr>
      <w:r>
        <w:rPr>
          <w:rFonts w:hint="eastAsia" w:ascii="仿宋" w:hAnsi="仿宋" w:eastAsia="仿宋"/>
          <w:sz w:val="32"/>
          <w:szCs w:val="32"/>
        </w:rPr>
        <w:t>本授权书声明：注册于</w:t>
      </w:r>
      <w:r>
        <w:rPr>
          <w:rFonts w:hint="eastAsia" w:ascii="仿宋" w:hAnsi="仿宋" w:eastAsia="仿宋"/>
          <w:i/>
          <w:sz w:val="32"/>
          <w:szCs w:val="32"/>
          <w:u w:val="single"/>
        </w:rPr>
        <w:t>（国家或地区的名称）</w:t>
      </w:r>
      <w:r>
        <w:rPr>
          <w:rFonts w:hint="eastAsia" w:ascii="仿宋" w:hAnsi="仿宋" w:eastAsia="仿宋"/>
          <w:sz w:val="32"/>
          <w:szCs w:val="32"/>
        </w:rPr>
        <w:t>的</w:t>
      </w:r>
      <w:r>
        <w:rPr>
          <w:rFonts w:hint="eastAsia" w:ascii="仿宋" w:hAnsi="仿宋" w:eastAsia="仿宋"/>
          <w:i/>
          <w:sz w:val="32"/>
          <w:szCs w:val="32"/>
          <w:u w:val="single"/>
        </w:rPr>
        <w:t>（公司名称）</w:t>
      </w:r>
      <w:r>
        <w:rPr>
          <w:rFonts w:hint="eastAsia" w:ascii="仿宋" w:hAnsi="仿宋" w:eastAsia="仿宋"/>
          <w:sz w:val="32"/>
          <w:szCs w:val="32"/>
        </w:rPr>
        <w:t>的在下面签字的</w:t>
      </w:r>
      <w:r>
        <w:rPr>
          <w:rFonts w:hint="eastAsia" w:ascii="仿宋" w:hAnsi="仿宋" w:eastAsia="仿宋"/>
          <w:i/>
          <w:sz w:val="32"/>
          <w:szCs w:val="32"/>
          <w:u w:val="single"/>
        </w:rPr>
        <w:t>（法定代表人姓名、职务）</w:t>
      </w:r>
      <w:r>
        <w:rPr>
          <w:rFonts w:hint="eastAsia" w:ascii="仿宋" w:hAnsi="仿宋" w:eastAsia="仿宋"/>
          <w:sz w:val="32"/>
          <w:szCs w:val="32"/>
        </w:rPr>
        <w:t>代表本公司授权</w:t>
      </w:r>
      <w:r>
        <w:rPr>
          <w:rFonts w:hint="eastAsia" w:ascii="仿宋" w:hAnsi="仿宋" w:eastAsia="仿宋"/>
          <w:i/>
          <w:sz w:val="32"/>
          <w:szCs w:val="32"/>
          <w:u w:val="single"/>
        </w:rPr>
        <w:t>（单位名称）</w:t>
      </w:r>
      <w:r>
        <w:rPr>
          <w:rFonts w:hint="eastAsia" w:ascii="仿宋" w:hAnsi="仿宋" w:eastAsia="仿宋"/>
          <w:sz w:val="32"/>
          <w:szCs w:val="32"/>
        </w:rPr>
        <w:t>的下面签字的</w:t>
      </w:r>
      <w:r>
        <w:rPr>
          <w:rFonts w:hint="eastAsia" w:ascii="仿宋" w:hAnsi="仿宋" w:eastAsia="仿宋"/>
          <w:i/>
          <w:sz w:val="32"/>
          <w:szCs w:val="32"/>
          <w:u w:val="single"/>
        </w:rPr>
        <w:t>（被授权人的姓名、职务）</w:t>
      </w:r>
      <w:r>
        <w:rPr>
          <w:rFonts w:hint="eastAsia" w:ascii="仿宋" w:hAnsi="仿宋" w:eastAsia="仿宋"/>
          <w:sz w:val="32"/>
          <w:szCs w:val="32"/>
        </w:rPr>
        <w:t>为本公司的合法代理人，就</w:t>
      </w:r>
      <w:r>
        <w:rPr>
          <w:rFonts w:hint="eastAsia" w:ascii="仿宋" w:hAnsi="仿宋" w:eastAsia="仿宋"/>
          <w:i/>
          <w:sz w:val="32"/>
          <w:szCs w:val="32"/>
          <w:u w:val="single"/>
        </w:rPr>
        <w:t>（项目名称）</w:t>
      </w:r>
      <w:r>
        <w:rPr>
          <w:rFonts w:hint="eastAsia" w:ascii="仿宋" w:hAnsi="仿宋" w:eastAsia="仿宋"/>
          <w:sz w:val="32"/>
          <w:szCs w:val="32"/>
        </w:rPr>
        <w:t>的遴选，以本公司名义处理一切与之有关的事务。（包括但不限于确认最终报价、承诺书、合同谈判及签署等事务）</w:t>
      </w:r>
    </w:p>
    <w:p w14:paraId="65B72DAB">
      <w:pPr>
        <w:spacing w:line="560" w:lineRule="exact"/>
        <w:ind w:firstLine="480"/>
        <w:rPr>
          <w:rFonts w:ascii="仿宋" w:hAnsi="仿宋" w:eastAsia="仿宋"/>
          <w:sz w:val="32"/>
          <w:szCs w:val="32"/>
        </w:rPr>
      </w:pPr>
    </w:p>
    <w:p w14:paraId="00F325C0">
      <w:pPr>
        <w:spacing w:line="560" w:lineRule="exact"/>
        <w:ind w:firstLine="480"/>
        <w:rPr>
          <w:rFonts w:ascii="仿宋" w:hAnsi="仿宋" w:eastAsia="仿宋"/>
          <w:sz w:val="32"/>
          <w:szCs w:val="32"/>
        </w:rPr>
      </w:pPr>
      <w:r>
        <w:rPr>
          <w:rFonts w:hint="eastAsia" w:ascii="仿宋" w:hAnsi="仿宋" w:eastAsia="仿宋"/>
          <w:sz w:val="32"/>
          <w:szCs w:val="32"/>
        </w:rPr>
        <w:t>本授权书于</w:t>
      </w:r>
      <w:r>
        <w:rPr>
          <w:rFonts w:ascii="仿宋" w:hAnsi="仿宋" w:eastAsia="仿宋"/>
          <w:sz w:val="32"/>
          <w:szCs w:val="32"/>
        </w:rPr>
        <w:t>__________</w:t>
      </w:r>
      <w:r>
        <w:rPr>
          <w:rFonts w:hint="eastAsia" w:ascii="仿宋" w:hAnsi="仿宋" w:eastAsia="仿宋"/>
          <w:sz w:val="32"/>
          <w:szCs w:val="32"/>
        </w:rPr>
        <w:t>年</w:t>
      </w:r>
      <w:r>
        <w:rPr>
          <w:rFonts w:ascii="仿宋" w:hAnsi="仿宋" w:eastAsia="仿宋"/>
          <w:sz w:val="32"/>
          <w:szCs w:val="32"/>
        </w:rPr>
        <w:t>______</w:t>
      </w:r>
      <w:r>
        <w:rPr>
          <w:rFonts w:hint="eastAsia" w:ascii="仿宋" w:hAnsi="仿宋" w:eastAsia="仿宋"/>
          <w:sz w:val="32"/>
          <w:szCs w:val="32"/>
        </w:rPr>
        <w:t>月</w:t>
      </w:r>
      <w:r>
        <w:rPr>
          <w:rFonts w:ascii="仿宋" w:hAnsi="仿宋" w:eastAsia="仿宋"/>
          <w:sz w:val="32"/>
          <w:szCs w:val="32"/>
        </w:rPr>
        <w:t>______</w:t>
      </w:r>
      <w:r>
        <w:rPr>
          <w:rFonts w:hint="eastAsia" w:ascii="仿宋" w:hAnsi="仿宋" w:eastAsia="仿宋"/>
          <w:sz w:val="32"/>
          <w:szCs w:val="32"/>
        </w:rPr>
        <w:t>日签字生效，特此声明。</w:t>
      </w:r>
    </w:p>
    <w:p w14:paraId="7E3602BD">
      <w:pPr>
        <w:spacing w:line="560" w:lineRule="exact"/>
        <w:ind w:firstLine="480"/>
        <w:rPr>
          <w:rFonts w:hint="eastAsia" w:ascii="仿宋" w:hAnsi="仿宋" w:eastAsia="仿宋"/>
          <w:sz w:val="32"/>
          <w:szCs w:val="32"/>
        </w:rPr>
      </w:pPr>
    </w:p>
    <w:p w14:paraId="4ADFB27C">
      <w:pPr>
        <w:spacing w:line="560" w:lineRule="exact"/>
        <w:rPr>
          <w:rFonts w:hint="eastAsia" w:ascii="仿宋" w:hAnsi="仿宋" w:eastAsia="仿宋"/>
          <w:sz w:val="32"/>
          <w:szCs w:val="32"/>
        </w:rPr>
      </w:pPr>
      <w:r>
        <w:rPr>
          <w:rFonts w:hint="eastAsia" w:ascii="仿宋" w:hAnsi="仿宋" w:eastAsia="仿宋"/>
          <w:sz w:val="32"/>
          <w:szCs w:val="32"/>
        </w:rPr>
        <w:t>单位名称：（加盖公章）</w:t>
      </w:r>
    </w:p>
    <w:p w14:paraId="38F1A59B">
      <w:pPr>
        <w:spacing w:line="560" w:lineRule="exact"/>
        <w:rPr>
          <w:rFonts w:hint="eastAsia" w:ascii="仿宋" w:hAnsi="仿宋" w:eastAsia="仿宋"/>
          <w:sz w:val="32"/>
          <w:szCs w:val="32"/>
        </w:rPr>
      </w:pPr>
    </w:p>
    <w:p w14:paraId="6CDE6C78">
      <w:pPr>
        <w:spacing w:line="560" w:lineRule="exact"/>
        <w:rPr>
          <w:rFonts w:hint="eastAsia" w:ascii="仿宋" w:hAnsi="仿宋" w:eastAsia="仿宋"/>
          <w:sz w:val="32"/>
          <w:szCs w:val="32"/>
        </w:rPr>
      </w:pPr>
    </w:p>
    <w:p w14:paraId="41FABCFB">
      <w:pPr>
        <w:spacing w:line="560" w:lineRule="exact"/>
        <w:rPr>
          <w:rFonts w:hint="eastAsia" w:ascii="仿宋" w:hAnsi="仿宋" w:eastAsia="仿宋"/>
          <w:sz w:val="32"/>
          <w:szCs w:val="32"/>
        </w:rPr>
      </w:pPr>
      <w:r>
        <w:rPr>
          <w:rFonts w:hint="eastAsia" w:ascii="仿宋" w:hAnsi="仿宋" w:eastAsia="仿宋"/>
          <w:sz w:val="32"/>
          <w:szCs w:val="32"/>
        </w:rPr>
        <w:t>法定代表人签字：</w:t>
      </w:r>
      <w:r>
        <w:rPr>
          <w:rFonts w:ascii="仿宋" w:hAnsi="仿宋" w:eastAsia="仿宋"/>
          <w:sz w:val="32"/>
          <w:szCs w:val="32"/>
        </w:rPr>
        <w:t>_____________________</w:t>
      </w:r>
    </w:p>
    <w:p w14:paraId="745D81D0">
      <w:pPr>
        <w:spacing w:line="560" w:lineRule="exact"/>
        <w:rPr>
          <w:rFonts w:hint="eastAsia" w:ascii="仿宋" w:hAnsi="仿宋" w:eastAsia="仿宋"/>
          <w:sz w:val="32"/>
          <w:szCs w:val="32"/>
        </w:rPr>
      </w:pPr>
      <w:r>
        <w:rPr>
          <w:rFonts w:hint="eastAsia" w:ascii="仿宋" w:hAnsi="仿宋" w:eastAsia="仿宋"/>
          <w:sz w:val="32"/>
          <w:szCs w:val="32"/>
        </w:rPr>
        <w:t>被授权人签字：</w:t>
      </w:r>
      <w:r>
        <w:rPr>
          <w:rFonts w:ascii="仿宋" w:hAnsi="仿宋" w:eastAsia="仿宋"/>
          <w:sz w:val="32"/>
          <w:szCs w:val="32"/>
        </w:rPr>
        <w:t>________________________</w:t>
      </w:r>
    </w:p>
    <w:p w14:paraId="724572A9">
      <w:pPr>
        <w:spacing w:line="560" w:lineRule="exact"/>
        <w:rPr>
          <w:rFonts w:hint="eastAsia" w:ascii="仿宋" w:hAnsi="仿宋" w:eastAsia="仿宋"/>
          <w:sz w:val="32"/>
          <w:szCs w:val="32"/>
        </w:rPr>
      </w:pPr>
    </w:p>
    <w:p w14:paraId="776E578A">
      <w:pPr>
        <w:spacing w:line="560" w:lineRule="exact"/>
        <w:rPr>
          <w:rFonts w:hint="eastAsia" w:ascii="仿宋" w:hAnsi="仿宋" w:eastAsia="仿宋"/>
          <w:sz w:val="32"/>
          <w:szCs w:val="32"/>
        </w:rPr>
      </w:pPr>
    </w:p>
    <w:p w14:paraId="6A67AF03">
      <w:pPr>
        <w:keepLines/>
        <w:spacing w:line="560" w:lineRule="exact"/>
        <w:rPr>
          <w:rFonts w:ascii="仿宋" w:hAnsi="仿宋" w:eastAsia="仿宋" w:cs="宋体"/>
          <w:b/>
          <w:bCs/>
          <w:sz w:val="32"/>
          <w:szCs w:val="32"/>
          <w:u w:val="single"/>
        </w:rPr>
      </w:pPr>
      <w:r>
        <w:rPr>
          <w:rFonts w:hint="eastAsia" w:ascii="仿宋" w:hAnsi="仿宋" w:eastAsia="仿宋" w:cs="宋体"/>
          <w:b/>
          <w:bCs/>
          <w:sz w:val="32"/>
          <w:szCs w:val="32"/>
          <w:u w:val="single"/>
        </w:rPr>
        <w:t>注：供应商须附法定代表人和被授权人的有效身份证（正反面）复印件，并加盖公章。</w:t>
      </w:r>
    </w:p>
    <w:p w14:paraId="27E05EE6">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D0EB7"/>
    <w:rsid w:val="28822EDE"/>
    <w:rsid w:val="63320ECD"/>
    <w:rsid w:val="68CD0EB7"/>
    <w:rsid w:val="695D07DC"/>
    <w:rsid w:val="7EC626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1"/>
    <w:qFormat/>
    <w:uiPriority w:val="0"/>
    <w:pPr>
      <w:spacing w:before="180" w:after="180"/>
    </w:pPr>
  </w:style>
  <w:style w:type="paragraph" w:styleId="3">
    <w:name w:val="annotation text"/>
    <w:basedOn w:val="1"/>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3573</Words>
  <Characters>3707</Characters>
  <Lines>0</Lines>
  <Paragraphs>0</Paragraphs>
  <TotalTime>14</TotalTime>
  <ScaleCrop>false</ScaleCrop>
  <LinksUpToDate>false</LinksUpToDate>
  <CharactersWithSpaces>3714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2026-05-22T13:45:00Z</dcterms:created>
  <dc:creator>WPS_1477486484</dc:creator>
  <cp:lastModifiedBy>陈家祺</cp:lastModifiedBy>
  <dcterms:modified xsi:type="dcterms:W3CDTF">2026-06-04T01:42:51Z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9F60897DD8F94A24831E1D7DD057DAEE_13</vt:lpwstr>
  </property>
  <property fmtid="{D5CDD505-2E9C-101B-9397-08002B2CF9AE}" pid="4" name="KSOTemplateDocerSaveRecord">
    <vt:lpwstr>eyJoZGlkIjoiZmVjZTQ3NjAzY2MxZjY4MzE3MDM2YzIyZWY1NWQ3YzIiLCJ1c2VySWQiOiIyNzk1Mjk2NDcifQ==</vt:lpwstr>
  </property>
</Properties>
</file>